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docProps/custom.xml" ContentType="application/vnd.openxmlformats-officedocument.custom-properti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af"/>
      </w:pPr>
      <w:r>
        <w:t xml:space="preserve">П</w:t>
      </w:r>
      <w:r>
        <w:t xml:space="preserve"> О С Т А Н О В Л Е Н И Е</w:t>
      </w:r>
    </w:p>
    <w:p>
      <w:pPr>
        <w:spacing w:after="0" w:line="240" w:lineRule="auto"/>
        <w:jc w:val="center"/>
        <w:rPr>
          <w:rFonts w:ascii="Times New Roman" w:hAnsi="Times New Roman" w:cs="Times New Roman" w:eastAsia="Arial Unicode MS"/>
          <w:spacing w:val="30"/>
          <w:sz w:val="32"/>
        </w:rPr>
      </w:pPr>
      <w:r>
        <w:rPr>
          <w:rFonts w:ascii="Times New Roman" w:hAnsi="Times New Roman" w:cs="Times New Roman" w:eastAsia="Arial Unicode MS"/>
          <w:spacing w:val="30"/>
          <w:sz w:val="32"/>
        </w:rPr>
        <w:t xml:space="preserve">АДМИНИСТРАЦИИ ГОРОДА СТАВРОПОЛЯ</w:t>
      </w:r>
    </w:p>
    <w:p>
      <w:pPr>
        <w:spacing w:after="0" w:line="240" w:lineRule="auto"/>
        <w:jc w:val="center"/>
        <w:rPr>
          <w:rFonts w:ascii="Times New Roman" w:hAnsi="Times New Roman" w:cs="Times New Roman" w:eastAsia="Arial Unicode MS"/>
          <w:spacing w:val="30"/>
          <w:sz w:val="32"/>
        </w:rPr>
      </w:pPr>
      <w:r>
        <w:rPr>
          <w:rFonts w:ascii="Times New Roman" w:hAnsi="Times New Roman" w:cs="Times New Roman" w:eastAsia="Arial Unicode MS"/>
          <w:spacing w:val="30"/>
          <w:sz w:val="32"/>
        </w:rPr>
        <w:t xml:space="preserve">СТАВРОПОЛЬСКОГО КРАЯ</w:t>
      </w:r>
    </w:p>
    <w:p>
      <w:pPr>
        <w:spacing w:after="0" w:line="240" w:lineRule="auto"/>
        <w:jc w:val="both"/>
        <w:rPr>
          <w:rFonts w:ascii="Times New Roman" w:hAnsi="Times New Roman" w:cs="Times New Roman" w:eastAsia="Arial Unicode MS"/>
          <w:spacing w:val="30"/>
          <w:sz w:val="32"/>
        </w:rPr>
      </w:pPr>
    </w:p>
    <w:p>
      <w:pPr>
        <w:spacing w:after="0" w:line="240" w:lineRule="auto"/>
        <w:jc w:val="both"/>
        <w:rPr>
          <w:rFonts w:ascii="Times New Roman" w:hAnsi="Times New Roman" w:cs="Times New Roman" w:eastAsia="Arial Unicode MS"/>
          <w:spacing w:val="30"/>
          <w:sz w:val="32"/>
        </w:rPr>
      </w:pPr>
      <w:r>
        <w:rPr>
          <w:rFonts w:ascii="Times New Roman" w:hAnsi="Times New Roman" w:cs="Times New Roman" w:eastAsia="Arial Unicode MS"/>
          <w:spacing w:val="30"/>
          <w:sz w:val="32"/>
        </w:rPr>
        <w:t xml:space="preserve">11</w:t>
      </w:r>
      <w:r>
        <w:rPr>
          <w:rFonts w:ascii="Times New Roman" w:hAnsi="Times New Roman" w:cs="Times New Roman" w:eastAsia="Arial Unicode MS"/>
          <w:spacing w:val="30"/>
          <w:sz w:val="32"/>
        </w:rPr>
        <w:t xml:space="preserve">.</w:t>
      </w:r>
      <w:r>
        <w:rPr>
          <w:rFonts w:ascii="Times New Roman" w:hAnsi="Times New Roman" w:cs="Times New Roman" w:eastAsia="Arial Unicode MS"/>
          <w:spacing w:val="30"/>
          <w:sz w:val="32"/>
        </w:rPr>
        <w:t xml:space="preserve">11</w:t>
      </w:r>
      <w:r>
        <w:rPr>
          <w:rFonts w:ascii="Times New Roman" w:hAnsi="Times New Roman" w:cs="Times New Roman" w:eastAsia="Arial Unicode MS"/>
          <w:spacing w:val="30"/>
          <w:sz w:val="32"/>
        </w:rPr>
        <w:t xml:space="preserve">.20</w:t>
      </w:r>
      <w:r>
        <w:rPr>
          <w:rFonts w:ascii="Times New Roman" w:hAnsi="Times New Roman" w:cs="Times New Roman" w:eastAsia="Arial Unicode MS"/>
          <w:spacing w:val="30"/>
          <w:sz w:val="32"/>
        </w:rPr>
        <w:t xml:space="preserve">22</w:t>
      </w:r>
      <w:r>
        <w:rPr>
          <w:rFonts w:ascii="Times New Roman" w:hAnsi="Times New Roman" w:cs="Times New Roman" w:eastAsia="Arial Unicode MS"/>
          <w:spacing w:val="30"/>
          <w:sz w:val="32"/>
        </w:rPr>
        <w:t xml:space="preserve">                  г. Ставрополь                №</w:t>
      </w:r>
      <w:r>
        <w:rPr>
          <w:rFonts w:ascii="Times New Roman" w:hAnsi="Times New Roman" w:cs="Times New Roman" w:eastAsia="Arial Unicode MS"/>
          <w:spacing w:val="30"/>
          <w:sz w:val="32"/>
        </w:rPr>
        <w:t xml:space="preserve"> 2411</w:t>
      </w:r>
      <w:r>
        <w:rPr>
          <w:rFonts w:ascii="Times New Roman" w:hAnsi="Times New Roman" w:cs="Times New Roman" w:eastAsia="Arial Unicode MS"/>
          <w:spacing w:val="30"/>
          <w:sz w:val="32"/>
        </w:rPr>
        <w:t xml:space="preserve"> </w:t>
      </w:r>
    </w:p>
    <w:p>
      <w:pPr>
        <w:pStyle w:val="ConsPlusNormal"/>
        <w:jc w:val="both"/>
        <w:rPr>
          <w:color w:val="FFFFFF" w:themeColor="background1"/>
          <w:sz w:val="28"/>
          <w:szCs w:val="28"/>
        </w:rPr>
      </w:pPr>
    </w:p>
    <w:p>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муниципальной программы «Энергосбережение </w:t>
      </w:r>
      <w:r>
        <w:rPr>
          <w:rFonts w:ascii="Times New Roman" w:hAnsi="Times New Roman" w:cs="Times New Roman"/>
          <w:sz w:val="28"/>
          <w:szCs w:val="28"/>
        </w:rPr>
        <w:br/>
        <w:t xml:space="preserve">и повышение энергетической эффективности в городе Ставрополе»</w:t>
      </w:r>
    </w:p>
    <w:p>
      <w:pPr>
        <w:spacing w:after="0" w:line="240" w:lineRule="exact"/>
        <w:rPr>
          <w:rFonts w:ascii="Times New Roman" w:hAnsi="Times New Roman" w:cs="Times New Roman"/>
          <w:sz w:val="28"/>
          <w:szCs w:val="28"/>
        </w:rPr>
      </w:pPr>
    </w:p>
    <w:p>
      <w:pPr>
        <w:widowControl w:val="o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соответствии с Бюджетным </w:t>
      </w:r>
      <w:hyperlink r:id="rId15" w:history="1">
        <w:r>
          <w:rPr>
            <w:rStyle w:val="ListLabel1"/>
            <w:rFonts w:ascii="Times New Roman" w:hAnsi="Times New Roman" w:cs="Times New Roman" w:eastAsiaTheme="minorHAnsi"/>
            <w:color w:val="000000"/>
            <w:sz w:val="28"/>
            <w:szCs w:val="28"/>
          </w:rPr>
          <w:t xml:space="preserve">кодексом</w:t>
        </w:r>
      </w:hyperlink>
      <w:r>
        <w:rPr>
          <w:rFonts w:ascii="Times New Roman" w:hAnsi="Times New Roman" w:cs="Times New Roman"/>
          <w:color w:val="000000"/>
          <w:sz w:val="28"/>
          <w:szCs w:val="28"/>
        </w:rPr>
        <w:t xml:space="preserve"> Российской Федерации, Федеральным </w:t>
      </w:r>
      <w:hyperlink r:id="rId16" w:history="1">
        <w:r>
          <w:rPr>
            <w:rStyle w:val="ListLabel1"/>
            <w:rFonts w:ascii="Times New Roman" w:hAnsi="Times New Roman" w:cs="Times New Roman" w:eastAsiaTheme="minorHAnsi"/>
            <w:color w:val="000000"/>
            <w:sz w:val="28"/>
            <w:szCs w:val="28"/>
          </w:rPr>
          <w:t xml:space="preserve">законом</w:t>
        </w:r>
      </w:hyperlink>
      <w:r>
        <w:rPr>
          <w:rFonts w:ascii="Times New Roman" w:hAnsi="Times New Roman" w:cs="Times New Roman"/>
          <w:color w:val="000000"/>
          <w:sz w:val="28"/>
          <w:szCs w:val="28"/>
        </w:rPr>
        <w:t xml:space="preserve"> от 06 октября 2003 г. № 131-ФЗ «Об общих принципах организации местного самоуправления в Российской Федерации», Федеральным </w:t>
      </w:r>
      <w:hyperlink r:id="rId17" w:history="1">
        <w:r>
          <w:rPr>
            <w:rStyle w:val="ListLabel1"/>
            <w:rFonts w:ascii="Times New Roman" w:hAnsi="Times New Roman" w:cs="Times New Roman" w:eastAsiaTheme="minorHAnsi"/>
            <w:color w:val="000000"/>
            <w:sz w:val="28"/>
            <w:szCs w:val="28"/>
          </w:rPr>
          <w:t xml:space="preserve">законом</w:t>
        </w:r>
      </w:hyperlink>
      <w:r>
        <w:rPr>
          <w:rFonts w:ascii="Times New Roman" w:hAnsi="Times New Roman" w:cs="Times New Roman"/>
          <w:color w:val="000000"/>
          <w:sz w:val="28"/>
          <w:szCs w:val="28"/>
        </w:rPr>
        <w:t xml:space="preserve"> от 28 июня 2014 г. № 172-ФЗ «О стратегическом планировании в Российской Федерации», </w:t>
      </w:r>
      <w:hyperlink r:id="rId18" w:history="1">
        <w:r>
          <w:rPr>
            <w:rStyle w:val="ListLabel1"/>
            <w:rFonts w:ascii="Times New Roman" w:hAnsi="Times New Roman" w:cs="Times New Roman" w:eastAsiaTheme="minorHAnsi"/>
            <w:color w:val="000000"/>
            <w:sz w:val="28"/>
            <w:szCs w:val="28"/>
          </w:rPr>
          <w:t xml:space="preserve">постановлением</w:t>
        </w:r>
      </w:hyperlink>
      <w:r>
        <w:rPr>
          <w:rFonts w:ascii="Times New Roman" w:hAnsi="Times New Roman" w:cs="Times New Roman"/>
          <w:color w:val="000000"/>
          <w:sz w:val="28"/>
          <w:szCs w:val="28"/>
        </w:rPr>
        <w:t xml:space="preserve"> администрации города Ставрополя от 26.08.2019 № 2382 «О Порядке принятия решения о разработке муниципальных программ, их формирования и реализации»</w:t>
      </w:r>
    </w:p>
    <w:p>
      <w:pPr>
        <w:widowControl w:val="off"/>
        <w:spacing w:after="0" w:line="240" w:lineRule="auto"/>
        <w:jc w:val="both"/>
        <w:rPr>
          <w:rFonts w:ascii="Times New Roman" w:hAnsi="Times New Roman" w:cs="Times New Roman"/>
          <w:sz w:val="28"/>
          <w:szCs w:val="28"/>
        </w:rPr>
      </w:pPr>
    </w:p>
    <w:p>
      <w:pPr>
        <w:widowControl w:val="o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ПОСТАНОВЛЯЮ:</w:t>
      </w:r>
    </w:p>
    <w:p>
      <w:pPr>
        <w:widowControl w:val="off"/>
        <w:spacing w:after="0" w:line="240" w:lineRule="auto"/>
        <w:jc w:val="both"/>
        <w:rPr>
          <w:rFonts w:ascii="Times New Roman" w:hAnsi="Times New Roman" w:cs="Times New Roman"/>
          <w:sz w:val="28"/>
          <w:szCs w:val="28"/>
        </w:rPr>
      </w:pPr>
    </w:p>
    <w:p>
      <w:pPr>
        <w:widowControl w:val="o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муниципальную программу «Энергосбережение </w:t>
      </w:r>
      <w:r>
        <w:rPr>
          <w:rFonts w:ascii="Times New Roman" w:hAnsi="Times New Roman" w:cs="Times New Roman"/>
          <w:sz w:val="28"/>
          <w:szCs w:val="28"/>
        </w:rPr>
        <w:br/>
        <w:t xml:space="preserve">и повышение энергетической эффективности в городе Ставрополе» согласно приложению.</w:t>
      </w:r>
    </w:p>
    <w:p>
      <w:pPr>
        <w:widowControl w:val="o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вступает в силу с 01 января 2023 года.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 xml:space="preserve">Разместить</w:t>
      </w:r>
      <w:r>
        <w:rPr>
          <w:rFonts w:ascii="Times New Roman" w:hAnsi="Times New Roman" w:cs="Times New Roman"/>
          <w:sz w:val="28"/>
          <w:szCs w:val="28"/>
        </w:rPr>
        <w:t xml:space="preserve"> настоящее постановление на официальном сайте администрации города Ставрополя в информационно-телекоммуникационной сети «Интернет».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Контроль исполнения настоящего постановления возложить на первого заместителя </w:t>
      </w:r>
      <w:r>
        <w:rPr>
          <w:rFonts w:ascii="Times New Roman" w:hAnsi="Times New Roman" w:cs="Times New Roman"/>
          <w:sz w:val="28"/>
          <w:szCs w:val="28"/>
        </w:rPr>
        <w:t xml:space="preserve">главы администрации города Ставрополя </w:t>
      </w:r>
      <w:r>
        <w:rPr>
          <w:rFonts w:ascii="Times New Roman" w:hAnsi="Times New Roman" w:cs="Times New Roman"/>
          <w:sz w:val="28"/>
          <w:szCs w:val="28"/>
        </w:rPr>
        <w:br/>
        <w:t xml:space="preserve">Семенова</w:t>
      </w:r>
      <w:r>
        <w:rPr>
          <w:rFonts w:ascii="Times New Roman" w:hAnsi="Times New Roman" w:cs="Times New Roman"/>
          <w:sz w:val="28"/>
          <w:szCs w:val="28"/>
        </w:rPr>
        <w:t xml:space="preserve"> Д.Ю.</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pStyle w:val="ConsPlusNormal"/>
        <w:tabs>
          <w:tab w:val="left" w:pos="5103"/>
          <w:tab w:val="left" w:pos="5245"/>
        </w:tabs>
        <w:spacing w:line="240" w:lineRule="exact"/>
        <w:ind w:firstLine="5103"/>
        <w:outlineLvl w:val="0"/>
        <w:rPr>
          <w:sz w:val="28"/>
          <w:szCs w:val="28"/>
        </w:rPr>
      </w:pPr>
    </w:p>
    <w:p>
      <w:pPr>
        <w:widowControl w:val="off"/>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города Ставропо</w:t>
      </w:r>
      <w:r>
        <w:rPr>
          <w:rFonts w:ascii="Times New Roman" w:hAnsi="Times New Roman" w:cs="Times New Roman"/>
          <w:color w:val="000000"/>
          <w:sz w:val="28"/>
          <w:szCs w:val="28"/>
        </w:rPr>
        <w:t xml:space="preserve">ля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 xml:space="preserve">И.И. </w:t>
      </w:r>
      <w:r>
        <w:rPr>
          <w:rFonts w:ascii="Times New Roman" w:hAnsi="Times New Roman" w:cs="Times New Roman"/>
          <w:color w:val="000000"/>
          <w:sz w:val="28"/>
          <w:szCs w:val="28"/>
        </w:rPr>
        <w:t xml:space="preserve">Ульянченко</w:t>
      </w:r>
    </w:p>
    <w:p/>
    <w:p/>
    <w:p/>
    <w:p/>
    <w:p/>
    <w:p/>
    <w:p>
      <w:pPr>
        <w:sectPr>
          <w:headerReference w:type="default" r:id="rId8"/>
          <w:pgSz w:w="11906" w:h="16838"/>
          <w:pgMar w:top="1560" w:right="567" w:bottom="851" w:left="1985" w:header="567" w:footer="0" w:gutter="0"/>
          <w:pgNumType w:start="0"/>
          <w:cols w:space="720"/>
          <w:docGrid w:linePitch="360"/>
          <w:titlePg/>
        </w:sectPr>
      </w:pPr>
    </w:p>
    <w:tbl>
      <w:tblPr>
        <w:tblW w:w="0" w:type="auto"/>
        <w:tblInd w:w="4786" w:type="dxa"/>
        <w:tblLook w:val="0000" w:firstRow="0" w:lastRow="0" w:firstColumn="0" w:lastColumn="0" w:noHBand="0" w:noVBand="0"/>
      </w:tblPr>
      <w:tblGrid>
        <w:gridCol w:w="4784"/>
      </w:tblGrid>
      <w:tr>
        <w:trPr>
          <w:trHeight w:val="804"/>
        </w:trPr>
        <w:tc>
          <w:tcPr>
            <w:tcW w:w="4784" w:type="dxa"/>
          </w:tcPr>
          <w:p>
            <w:pPr>
              <w:pStyle w:val="ConsPlusNormal"/>
              <w:spacing w:line="240" w:lineRule="exact"/>
              <w:rPr>
                <w:sz w:val="28"/>
                <w:szCs w:val="28"/>
              </w:rPr>
            </w:pPr>
            <w:r>
              <w:rPr>
                <w:sz w:val="28"/>
                <w:szCs w:val="28"/>
              </w:rPr>
              <w:t xml:space="preserve">Приложение</w:t>
            </w:r>
            <w:r>
              <w:rPr>
                <w:sz w:val="28"/>
                <w:szCs w:val="28"/>
              </w:rPr>
              <w:t xml:space="preserve"> </w:t>
            </w:r>
          </w:p>
          <w:p>
            <w:pPr>
              <w:pStyle w:val="ConsPlusNormal"/>
              <w:spacing w:line="240" w:lineRule="exact"/>
              <w:rPr>
                <w:sz w:val="28"/>
                <w:szCs w:val="28"/>
              </w:rPr>
            </w:pPr>
          </w:p>
          <w:p>
            <w:pPr>
              <w:pStyle w:val="ConsPlusNormal"/>
              <w:spacing w:line="240" w:lineRule="exact"/>
              <w:rPr>
                <w:sz w:val="28"/>
                <w:szCs w:val="28"/>
              </w:rPr>
            </w:pPr>
            <w:r>
              <w:rPr>
                <w:sz w:val="28"/>
                <w:szCs w:val="28"/>
              </w:rPr>
              <w:t xml:space="preserve">к </w:t>
            </w:r>
            <w:r>
              <w:rPr>
                <w:sz w:val="28"/>
                <w:szCs w:val="28"/>
              </w:rPr>
              <w:t xml:space="preserve">постановлению</w:t>
            </w:r>
            <w:r>
              <w:rPr>
                <w:sz w:val="28"/>
                <w:szCs w:val="28"/>
              </w:rPr>
              <w:t xml:space="preserve"> </w:t>
            </w:r>
            <w:r>
              <w:rPr>
                <w:sz w:val="28"/>
                <w:szCs w:val="28"/>
              </w:rPr>
              <w:t xml:space="preserve">администрации города Ставрополя</w:t>
            </w:r>
          </w:p>
          <w:p>
            <w:pPr>
              <w:pStyle w:val="ConsPlusNormal"/>
              <w:spacing w:line="240" w:lineRule="exact"/>
              <w:rPr>
                <w:sz w:val="28"/>
                <w:szCs w:val="28"/>
              </w:rPr>
            </w:pPr>
            <w:r>
              <w:rPr>
                <w:sz w:val="28"/>
                <w:szCs w:val="28"/>
              </w:rPr>
              <w:t xml:space="preserve">от   </w:t>
            </w:r>
            <w:r>
              <w:rPr>
                <w:sz w:val="28"/>
                <w:szCs w:val="28"/>
              </w:rPr>
              <w:t xml:space="preserve">11.11.2022</w:t>
            </w:r>
            <w:r>
              <w:rPr>
                <w:sz w:val="28"/>
                <w:szCs w:val="28"/>
              </w:rPr>
              <w:t xml:space="preserve">   №</w:t>
            </w:r>
            <w:r>
              <w:rPr>
                <w:sz w:val="28"/>
                <w:szCs w:val="28"/>
              </w:rPr>
              <w:t xml:space="preserve"> 2411</w:t>
            </w:r>
            <w:r>
              <w:rPr>
                <w:sz w:val="28"/>
                <w:szCs w:val="28"/>
              </w:rPr>
              <w:t xml:space="preserve">   </w:t>
            </w:r>
          </w:p>
          <w:p>
            <w:pPr>
              <w:pStyle w:val="ConsPlusNormal"/>
              <w:spacing w:line="240" w:lineRule="exact"/>
              <w:jc w:val="center"/>
              <w:rPr>
                <w:sz w:val="28"/>
                <w:szCs w:val="28"/>
              </w:rPr>
            </w:pPr>
          </w:p>
        </w:tc>
      </w:tr>
    </w:tbl>
    <w:p>
      <w:pPr>
        <w:pStyle w:val="ConsPlusNormal"/>
        <w:spacing w:line="240" w:lineRule="exact"/>
        <w:jc w:val="both"/>
      </w:pPr>
    </w:p>
    <w:p>
      <w:pPr>
        <w:pStyle w:val="ConsPlusTitle"/>
        <w:spacing w:line="240" w:lineRule="exact"/>
        <w:jc w:val="center"/>
        <w:rPr>
          <w:b w:val="0"/>
          <w:sz w:val="28"/>
          <w:szCs w:val="28"/>
        </w:rPr>
      </w:pPr>
      <w:bookmarkStart w:id="0" w:name="Par35"/>
      <w:bookmarkEnd w:id="0"/>
      <w:r>
        <w:rPr>
          <w:rFonts w:ascii="Times New Roman" w:hAnsi="Times New Roman"/>
          <w:b w:val="0"/>
          <w:sz w:val="28"/>
          <w:szCs w:val="28"/>
        </w:rPr>
        <w:t xml:space="preserve">МУНИЦИПАЛЬНАЯ ПРОГРАММА</w:t>
      </w:r>
    </w:p>
    <w:p>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 xml:space="preserve">«Энергосбережение и повышение энергетической эффективности в городе Ставрополе»</w:t>
      </w:r>
    </w:p>
    <w:p>
      <w:pPr>
        <w:pStyle w:val="ConsPlusNormal"/>
        <w:jc w:val="both"/>
        <w:rPr>
          <w:sz w:val="28"/>
          <w:szCs w:val="28"/>
        </w:rPr>
      </w:pPr>
    </w:p>
    <w:p>
      <w:pPr>
        <w:pStyle w:val="ConsPlusTitle"/>
        <w:tabs>
          <w:tab w:val="left" w:pos="2679"/>
          <w:tab w:val="center" w:pos="4677"/>
        </w:tabs>
        <w:rPr>
          <w:b w:val="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 xml:space="preserve">ПАСПОРТ</w:t>
      </w:r>
    </w:p>
    <w:p>
      <w:pPr>
        <w:pStyle w:val="ConsPlusTitle"/>
        <w:jc w:val="center"/>
        <w:rPr>
          <w:b w:val="0"/>
          <w:sz w:val="28"/>
          <w:szCs w:val="28"/>
        </w:rPr>
      </w:pPr>
      <w:r>
        <w:rPr>
          <w:rFonts w:ascii="Times New Roman" w:hAnsi="Times New Roman"/>
          <w:b w:val="0"/>
          <w:sz w:val="28"/>
          <w:szCs w:val="28"/>
        </w:rPr>
        <w:t xml:space="preserve">муниципальной программы «Э</w:t>
      </w:r>
      <w:r>
        <w:rPr>
          <w:rFonts w:ascii="Times New Roman" w:hAnsi="Times New Roman"/>
          <w:b w:val="0"/>
          <w:sz w:val="28"/>
          <w:szCs w:val="28"/>
        </w:rPr>
        <w:t xml:space="preserve">нергосбережение и повышение</w:t>
      </w:r>
    </w:p>
    <w:p>
      <w:pPr>
        <w:pStyle w:val="ConsPlusTitle"/>
        <w:jc w:val="center"/>
        <w:rPr>
          <w:b w:val="0"/>
          <w:sz w:val="28"/>
          <w:szCs w:val="28"/>
        </w:rPr>
      </w:pPr>
      <w:r>
        <w:rPr>
          <w:rFonts w:ascii="Times New Roman" w:hAnsi="Times New Roman"/>
          <w:b w:val="0"/>
          <w:sz w:val="28"/>
          <w:szCs w:val="28"/>
        </w:rPr>
        <w:t xml:space="preserve">энергет</w:t>
      </w:r>
      <w:r>
        <w:rPr>
          <w:rFonts w:ascii="Times New Roman" w:hAnsi="Times New Roman"/>
          <w:b w:val="0"/>
          <w:sz w:val="28"/>
          <w:szCs w:val="28"/>
        </w:rPr>
        <w:t xml:space="preserve">ической эффективности в городе С</w:t>
      </w:r>
      <w:r>
        <w:rPr>
          <w:rFonts w:ascii="Times New Roman" w:hAnsi="Times New Roman"/>
          <w:b w:val="0"/>
          <w:sz w:val="28"/>
          <w:szCs w:val="28"/>
        </w:rPr>
        <w:t xml:space="preserve">таврополе»</w:t>
      </w:r>
    </w:p>
    <w:p>
      <w:pPr>
        <w:pStyle w:val="ConsPlusNormal"/>
        <w:jc w:val="both"/>
        <w:rPr>
          <w:sz w:val="28"/>
          <w:szCs w:val="28"/>
        </w:rPr>
      </w:pPr>
    </w:p>
    <w:tbl>
      <w:tblPr>
        <w:tblW w:w="0" w:type="auto"/>
        <w:tblInd w:w="62" w:type="dxa"/>
        <w:tblLayout w:type="fixed"/>
        <w:tblCellMar>
          <w:left w:w="62" w:type="dxa"/>
          <w:top w:w="102" w:type="dxa"/>
          <w:right w:w="62" w:type="dxa"/>
          <w:bottom w:w="102" w:type="dxa"/>
        </w:tblCellMar>
        <w:tblLook w:val="0000" w:firstRow="0" w:lastRow="0" w:firstColumn="0" w:lastColumn="0" w:noHBand="0" w:noVBand="0"/>
      </w:tblPr>
      <w:tblGrid>
        <w:gridCol w:w="3544"/>
        <w:gridCol w:w="5528"/>
      </w:tblGrid>
      <w:tr>
        <w:tc>
          <w:tcPr>
            <w:tcW w:w="3544" w:type="dxa"/>
            <w:shd w:val="clear" w:color="auto" w:fill="auto"/>
          </w:tcPr>
          <w:p>
            <w:pPr>
              <w:pStyle w:val="ConsPlusNormal"/>
              <w:rPr>
                <w:sz w:val="28"/>
                <w:szCs w:val="28"/>
              </w:rPr>
            </w:pPr>
            <w:r>
              <w:rPr>
                <w:sz w:val="28"/>
                <w:szCs w:val="28"/>
              </w:rPr>
              <w:t xml:space="preserve">Наименование муниципальной программы</w:t>
            </w:r>
          </w:p>
        </w:tc>
        <w:tc>
          <w:tcPr>
            <w:tcW w:w="5528" w:type="dxa"/>
            <w:shd w:val="clear" w:color="auto" w:fill="auto"/>
          </w:tcPr>
          <w:p>
            <w:pPr>
              <w:pStyle w:val="1"/>
            </w:pPr>
            <w:r>
              <w:t xml:space="preserve">«</w:t>
            </w:r>
            <w:r>
              <w:t xml:space="preserve">Энергосбережение и повышение энергетической эф</w:t>
            </w:r>
            <w:r>
              <w:t xml:space="preserve">фективности в городе Ставрополе»</w:t>
            </w:r>
            <w:r>
              <w:t xml:space="preserve"> (далее - Программа)</w:t>
            </w:r>
          </w:p>
        </w:tc>
      </w:tr>
      <w:tr>
        <w:tc>
          <w:tcPr>
            <w:tcW w:w="3544" w:type="dxa"/>
            <w:shd w:val="clear" w:color="auto" w:fill="auto"/>
          </w:tcPr>
          <w:p>
            <w:pPr>
              <w:pStyle w:val="ConsPlusNormal"/>
              <w:rPr>
                <w:sz w:val="28"/>
                <w:szCs w:val="28"/>
              </w:rPr>
            </w:pPr>
            <w:r>
              <w:rPr>
                <w:sz w:val="28"/>
                <w:szCs w:val="28"/>
              </w:rPr>
              <w:t xml:space="preserve">Ответственный исполнитель Программы</w:t>
            </w:r>
          </w:p>
        </w:tc>
        <w:tc>
          <w:tcPr>
            <w:tcW w:w="5528" w:type="dxa"/>
            <w:shd w:val="clear" w:color="auto" w:fill="auto"/>
          </w:tcPr>
          <w:p>
            <w:pPr>
              <w:pStyle w:val="1"/>
            </w:pPr>
            <w:r>
              <w:t xml:space="preserve">комитет городского хозяйства администрации города Ставрополя</w:t>
            </w:r>
          </w:p>
        </w:tc>
      </w:tr>
      <w:tr>
        <w:tc>
          <w:tcPr>
            <w:tcW w:w="3544" w:type="dxa"/>
            <w:shd w:val="clear" w:color="auto" w:fill="auto"/>
          </w:tcPr>
          <w:p>
            <w:pPr>
              <w:pStyle w:val="ConsPlusNormal"/>
              <w:rPr>
                <w:sz w:val="28"/>
                <w:szCs w:val="28"/>
              </w:rPr>
            </w:pPr>
            <w:r>
              <w:rPr>
                <w:sz w:val="28"/>
                <w:szCs w:val="28"/>
              </w:rPr>
              <w:t xml:space="preserve">Соисполнители</w:t>
            </w:r>
            <w:r>
              <w:rPr>
                <w:sz w:val="28"/>
                <w:szCs w:val="28"/>
              </w:rPr>
              <w:t xml:space="preserve"> Программы</w:t>
            </w:r>
          </w:p>
        </w:tc>
        <w:tc>
          <w:tcPr>
            <w:tcW w:w="5528" w:type="dxa"/>
            <w:shd w:val="clear" w:color="auto" w:fill="auto"/>
          </w:tcPr>
          <w:p>
            <w:pPr>
              <w:pStyle w:val="1"/>
            </w:pPr>
            <w:r>
              <w:t xml:space="preserve">комитет образования администрации города Ставрополя;</w:t>
            </w:r>
          </w:p>
          <w:p>
            <w:pPr>
              <w:pStyle w:val="1"/>
            </w:pPr>
            <w:r>
              <w:t xml:space="preserve">комитет культуры и молодежной политики администрации города Ставрополя; </w:t>
            </w:r>
          </w:p>
          <w:p>
            <w:pPr>
              <w:pStyle w:val="1"/>
            </w:pPr>
            <w:r>
              <w:t xml:space="preserve">комитет физической культуры и спорта администрации города Ставрополя; </w:t>
            </w:r>
          </w:p>
          <w:p>
            <w:pPr>
              <w:pStyle w:val="1"/>
            </w:pPr>
            <w:r>
              <w:t xml:space="preserve">комитет по управлению муниципальным имуществом города Ставрополя; администрация Октябрьского района города Ставрополя; </w:t>
            </w:r>
          </w:p>
          <w:p>
            <w:pPr>
              <w:pStyle w:val="1"/>
            </w:pPr>
            <w:r>
              <w:t xml:space="preserve">администрация Промышленного района города Ставрополя; </w:t>
            </w:r>
          </w:p>
          <w:p>
            <w:pPr>
              <w:pStyle w:val="1"/>
            </w:pPr>
            <w:r>
              <w:t xml:space="preserve">администрация Ленинского района города Ставрополя</w:t>
            </w:r>
          </w:p>
        </w:tc>
      </w:tr>
      <w:tr>
        <w:trPr>
          <w:trHeight w:val="1420"/>
        </w:trPr>
        <w:tc>
          <w:tcPr>
            <w:tcW w:w="3544" w:type="dxa"/>
            <w:shd w:val="clear" w:color="auto" w:fill="auto"/>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Участники Программы</w:t>
            </w:r>
            <w:r>
              <w:rPr>
                <w:rFonts w:ascii="Times New Roman" w:hAnsi="Times New Roman" w:cs="Times New Roman"/>
                <w:sz w:val="28"/>
                <w:szCs w:val="28"/>
              </w:rPr>
              <w:t xml:space="preserve"> </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Цель Программы</w:t>
            </w:r>
          </w:p>
          <w:p>
            <w:pPr>
              <w:pStyle w:val="ConsPlusNormal"/>
              <w:rPr>
                <w:sz w:val="28"/>
                <w:szCs w:val="28"/>
              </w:rPr>
            </w:pPr>
          </w:p>
        </w:tc>
        <w:tc>
          <w:tcPr>
            <w:tcW w:w="5528" w:type="dxa"/>
            <w:shd w:val="clear" w:color="auto" w:fill="auto"/>
          </w:tcPr>
          <w:p>
            <w:pPr>
              <w:pStyle w:val="ConsPlusNormal"/>
              <w:jc w:val="both"/>
              <w:rPr>
                <w:sz w:val="28"/>
                <w:szCs w:val="28"/>
              </w:rPr>
            </w:pPr>
            <w:r>
              <w:rPr>
                <w:sz w:val="28"/>
                <w:szCs w:val="28"/>
              </w:rPr>
              <w:t xml:space="preserve">муниципальное у</w:t>
            </w:r>
            <w:r>
              <w:rPr>
                <w:sz w:val="28"/>
                <w:szCs w:val="28"/>
              </w:rPr>
              <w:t xml:space="preserve">нитарное предприятие «ВОДОКАНАЛ»</w:t>
            </w:r>
            <w:r>
              <w:rPr>
                <w:sz w:val="28"/>
                <w:szCs w:val="28"/>
              </w:rPr>
              <w:t xml:space="preserve"> города Ставрополя;</w:t>
            </w:r>
          </w:p>
          <w:p>
            <w:pPr>
              <w:pStyle w:val="ConsPlusNormal"/>
              <w:jc w:val="both"/>
              <w:rPr>
                <w:sz w:val="28"/>
                <w:szCs w:val="28"/>
              </w:rPr>
            </w:pPr>
            <w:r>
              <w:rPr>
                <w:sz w:val="28"/>
                <w:szCs w:val="28"/>
              </w:rPr>
              <w:t xml:space="preserve">акционерное общество «Теплосеть»; </w:t>
            </w:r>
          </w:p>
          <w:p>
            <w:pPr>
              <w:pStyle w:val="ConsPlusNormal"/>
              <w:jc w:val="both"/>
              <w:rPr>
                <w:sz w:val="28"/>
                <w:szCs w:val="28"/>
              </w:rPr>
            </w:pPr>
            <w:r>
              <w:rPr>
                <w:sz w:val="28"/>
                <w:szCs w:val="28"/>
              </w:rPr>
              <w:t xml:space="preserve">акционерное общество «</w:t>
            </w:r>
            <w:r>
              <w:rPr>
                <w:sz w:val="28"/>
                <w:szCs w:val="28"/>
              </w:rPr>
              <w:t xml:space="preserve">Горэлектросеть</w:t>
            </w:r>
            <w:r>
              <w:rPr>
                <w:sz w:val="28"/>
                <w:szCs w:val="28"/>
              </w:rPr>
              <w:t xml:space="preserve">»</w:t>
            </w:r>
          </w:p>
          <w:p>
            <w:pPr>
              <w:pStyle w:val="ConsPlusNormal"/>
              <w:jc w:val="both"/>
              <w:rPr>
                <w:sz w:val="28"/>
                <w:szCs w:val="28"/>
              </w:rPr>
            </w:pPr>
          </w:p>
          <w:p>
            <w:pPr>
              <w:pStyle w:val="ConsPlusNormal"/>
              <w:jc w:val="both"/>
              <w:rPr>
                <w:sz w:val="28"/>
                <w:szCs w:val="28"/>
              </w:rPr>
            </w:pPr>
            <w:r>
              <w:rPr>
                <w:sz w:val="28"/>
                <w:szCs w:val="28"/>
              </w:rPr>
              <w:t xml:space="preserve">о</w:t>
            </w:r>
            <w:r>
              <w:rPr>
                <w:sz w:val="28"/>
                <w:szCs w:val="28"/>
              </w:rPr>
              <w:t xml:space="preserve">беспечение эффективного использования топливно-энергетических ресурсов за счет реализации мероприятий по энергосбережению и повышению энергетической эффективности </w:t>
            </w:r>
            <w:r>
              <w:rPr>
                <w:sz w:val="28"/>
                <w:szCs w:val="28"/>
              </w:rPr>
              <w:t xml:space="preserve">на территории города Ставрополя</w:t>
            </w:r>
          </w:p>
        </w:tc>
      </w:tr>
      <w:tr>
        <w:trPr>
          <w:trHeight w:val="1162"/>
        </w:trPr>
        <w:tc>
          <w:tcPr>
            <w:tcW w:w="3544" w:type="dxa"/>
            <w:shd w:val="clear" w:color="auto" w:fill="auto"/>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Показател</w:t>
            </w:r>
            <w:r>
              <w:rPr>
                <w:rFonts w:ascii="Times New Roman" w:hAnsi="Times New Roman" w:cs="Times New Roman"/>
                <w:sz w:val="28"/>
                <w:szCs w:val="28"/>
              </w:rPr>
              <w:t xml:space="preserve">и (индикаторы) достижения цели</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Программы</w:t>
            </w:r>
          </w:p>
          <w:p>
            <w:r>
              <w:br w:type="page" w:clear="all"/>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Задачи Программы (показатели решения задач Программы)</w:t>
            </w:r>
          </w:p>
          <w:p>
            <w:pPr>
              <w:rPr>
                <w:rFonts w:ascii="Times New Roman" w:hAnsi="Times New Roman" w:cs="Times New Roman"/>
                <w:sz w:val="28"/>
                <w:szCs w:val="28"/>
              </w:rPr>
            </w:pPr>
          </w:p>
        </w:tc>
        <w:tc>
          <w:tcPr>
            <w:tcW w:w="5528" w:type="dxa"/>
            <w:shd w:val="clear" w:color="auto" w:fill="auto"/>
          </w:tcPr>
          <w:p>
            <w:pPr>
              <w:pStyle w:val="ConsPlusNormal"/>
              <w:jc w:val="both"/>
              <w:rPr>
                <w:sz w:val="28"/>
                <w:szCs w:val="28"/>
              </w:rPr>
            </w:pPr>
            <w:r>
              <w:rPr>
                <w:sz w:val="28"/>
                <w:szCs w:val="28"/>
              </w:rPr>
              <w:t xml:space="preserve">у</w:t>
            </w:r>
            <w:r>
              <w:rPr>
                <w:sz w:val="28"/>
                <w:szCs w:val="28"/>
              </w:rPr>
              <w:t xml:space="preserve">дельный расход электрической энергии на снабжение органов местного самоуправления и муниципальных учреждений (в расчете на 1 кв. м общей площади);</w:t>
            </w:r>
          </w:p>
          <w:p>
            <w:pPr>
              <w:pStyle w:val="ConsPlusNormal"/>
              <w:jc w:val="both"/>
              <w:rPr>
                <w:sz w:val="28"/>
                <w:szCs w:val="28"/>
              </w:rPr>
            </w:pPr>
            <w:r>
              <w:rPr>
                <w:sz w:val="28"/>
                <w:szCs w:val="28"/>
              </w:rPr>
              <w:t xml:space="preserve">у</w:t>
            </w:r>
            <w:r>
              <w:rPr>
                <w:sz w:val="28"/>
                <w:szCs w:val="28"/>
              </w:rPr>
              <w:t xml:space="preserve">дельный расход тепловой энергии на снабжение органов местного самоуправления и муниципальных учреждений (в расчете на 1 кв. м общей площади);</w:t>
            </w:r>
          </w:p>
          <w:p>
            <w:pPr>
              <w:pStyle w:val="ConsPlusNormal"/>
              <w:jc w:val="both"/>
              <w:rPr>
                <w:sz w:val="28"/>
                <w:szCs w:val="28"/>
              </w:rPr>
            </w:pPr>
            <w:r>
              <w:rPr>
                <w:sz w:val="28"/>
                <w:szCs w:val="28"/>
              </w:rPr>
              <w:t xml:space="preserve">у</w:t>
            </w:r>
            <w:r>
              <w:rPr>
                <w:sz w:val="28"/>
                <w:szCs w:val="28"/>
              </w:rPr>
              <w:t xml:space="preserve">дельный расход холодной воды на снабжение органов местного самоуправления и муниципальных учреждений (в расчете на 1 человека);</w:t>
            </w:r>
          </w:p>
          <w:p>
            <w:pPr>
              <w:pStyle w:val="ConsPlusNormal"/>
              <w:jc w:val="both"/>
              <w:rPr>
                <w:sz w:val="28"/>
                <w:szCs w:val="28"/>
              </w:rPr>
            </w:pPr>
            <w:r>
              <w:rPr>
                <w:sz w:val="28"/>
                <w:szCs w:val="28"/>
              </w:rPr>
              <w:t xml:space="preserve">у</w:t>
            </w:r>
            <w:r>
              <w:rPr>
                <w:sz w:val="28"/>
                <w:szCs w:val="28"/>
              </w:rPr>
              <w:t xml:space="preserve">дельный расход природного газа на снабжение органов местного самоуправления и муниципальных учреждений (в расчете на 1 человека);</w:t>
            </w:r>
          </w:p>
          <w:p>
            <w:pPr>
              <w:pStyle w:val="ConsPlusNormal"/>
              <w:jc w:val="both"/>
              <w:rPr>
                <w:sz w:val="28"/>
                <w:szCs w:val="28"/>
              </w:rPr>
            </w:pPr>
            <w:r>
              <w:rPr>
                <w:sz w:val="28"/>
                <w:szCs w:val="28"/>
              </w:rPr>
              <w:t xml:space="preserve">д</w:t>
            </w:r>
            <w:r>
              <w:rPr>
                <w:sz w:val="28"/>
                <w:szCs w:val="28"/>
              </w:rPr>
              <w:t xml:space="preserve">оля потерь тепловой энергии при ее передаче в общем объеме переданной тепловой энергии</w:t>
            </w:r>
            <w:r>
              <w:rPr>
                <w:sz w:val="28"/>
                <w:szCs w:val="28"/>
              </w:rPr>
              <w:t xml:space="preserve">;</w:t>
            </w:r>
          </w:p>
          <w:p>
            <w:pPr>
              <w:pStyle w:val="ConsPlusNormal"/>
              <w:jc w:val="both"/>
              <w:rPr>
                <w:sz w:val="28"/>
                <w:szCs w:val="28"/>
              </w:rPr>
            </w:pPr>
            <w:r>
              <w:rPr>
                <w:sz w:val="28"/>
                <w:szCs w:val="28"/>
              </w:rPr>
              <w:t xml:space="preserve">д</w:t>
            </w:r>
            <w:r>
              <w:rPr>
                <w:sz w:val="28"/>
                <w:szCs w:val="28"/>
              </w:rPr>
              <w:t xml:space="preserve">оля потерь воды при ее передаче в общем объеме переданной воды</w:t>
            </w:r>
            <w:r>
              <w:rPr>
                <w:sz w:val="28"/>
                <w:szCs w:val="28"/>
              </w:rPr>
              <w:t xml:space="preserve">;</w:t>
            </w:r>
          </w:p>
          <w:p>
            <w:pPr>
              <w:pStyle w:val="ConsPlusNormal"/>
              <w:jc w:val="both"/>
              <w:rPr>
                <w:sz w:val="28"/>
                <w:szCs w:val="28"/>
              </w:rPr>
            </w:pPr>
            <w:r>
              <w:rPr>
                <w:sz w:val="28"/>
                <w:szCs w:val="28"/>
              </w:rPr>
              <w:t xml:space="preserve">у</w:t>
            </w:r>
            <w:r>
              <w:rPr>
                <w:sz w:val="28"/>
                <w:szCs w:val="28"/>
              </w:rPr>
              <w:t xml:space="preserve">дельный расход тепловой энергии в многоквартирных домах (в расчете на 1 кв. м общей площади);</w:t>
            </w:r>
          </w:p>
          <w:p>
            <w:pPr>
              <w:pStyle w:val="ConsPlusNormal"/>
              <w:jc w:val="both"/>
              <w:rPr>
                <w:sz w:val="28"/>
                <w:szCs w:val="28"/>
              </w:rPr>
            </w:pPr>
            <w:r>
              <w:rPr>
                <w:sz w:val="28"/>
                <w:szCs w:val="28"/>
              </w:rPr>
              <w:t xml:space="preserve">у</w:t>
            </w:r>
            <w:r>
              <w:rPr>
                <w:sz w:val="28"/>
                <w:szCs w:val="28"/>
              </w:rPr>
              <w:t xml:space="preserve">дельный расход холодной воды в многоквартирных домах (в расчете на </w:t>
            </w:r>
            <w:r>
              <w:rPr>
                <w:sz w:val="28"/>
                <w:szCs w:val="28"/>
              </w:rPr>
              <w:t xml:space="preserve">                   </w:t>
            </w:r>
            <w:r>
              <w:rPr>
                <w:sz w:val="28"/>
                <w:szCs w:val="28"/>
              </w:rPr>
              <w:t xml:space="preserve">1 жителя);</w:t>
            </w:r>
          </w:p>
          <w:p>
            <w:pPr>
              <w:pStyle w:val="ConsPlusNormal"/>
              <w:jc w:val="both"/>
              <w:rPr>
                <w:sz w:val="28"/>
                <w:szCs w:val="28"/>
              </w:rPr>
            </w:pPr>
            <w:r>
              <w:rPr>
                <w:sz w:val="28"/>
                <w:szCs w:val="28"/>
              </w:rPr>
              <w:t xml:space="preserve">у</w:t>
            </w:r>
            <w:r>
              <w:rPr>
                <w:sz w:val="28"/>
                <w:szCs w:val="28"/>
              </w:rPr>
              <w:t xml:space="preserve">дельный расход электрической энергии в многоквартирных домах (в расчете на 1 кв. м общей площади);</w:t>
            </w:r>
          </w:p>
          <w:p>
            <w:pPr>
              <w:pStyle w:val="ConsPlusNormal"/>
              <w:jc w:val="both"/>
              <w:rPr>
                <w:sz w:val="28"/>
                <w:szCs w:val="28"/>
              </w:rPr>
            </w:pPr>
            <w:r>
              <w:rPr>
                <w:sz w:val="28"/>
                <w:szCs w:val="28"/>
              </w:rPr>
              <w:t xml:space="preserve">у</w:t>
            </w:r>
            <w:r>
              <w:rPr>
                <w:sz w:val="28"/>
                <w:szCs w:val="28"/>
              </w:rPr>
              <w:t xml:space="preserve">дельный расход природного газа в многоквартирных домах с индивидуальными системами газового отопления (в расчете на 1 кв. м общей площади);</w:t>
            </w:r>
          </w:p>
          <w:p>
            <w:pPr>
              <w:pStyle w:val="ConsPlusNormal"/>
              <w:jc w:val="both"/>
              <w:rPr>
                <w:sz w:val="28"/>
                <w:szCs w:val="28"/>
              </w:rPr>
            </w:pPr>
            <w:r>
              <w:rPr>
                <w:sz w:val="28"/>
                <w:szCs w:val="28"/>
              </w:rPr>
              <w:t xml:space="preserve">у</w:t>
            </w:r>
            <w:r>
              <w:rPr>
                <w:sz w:val="28"/>
                <w:szCs w:val="28"/>
              </w:rPr>
              <w:t xml:space="preserve">дельный расход природного газа в многоквартирных домах с иными системами теплоснабжения (в расчете на 1 жителя);</w:t>
            </w:r>
          </w:p>
          <w:p>
            <w:pPr>
              <w:pStyle w:val="ConsPlusNormal"/>
              <w:jc w:val="both"/>
              <w:rPr>
                <w:sz w:val="28"/>
                <w:szCs w:val="28"/>
              </w:rPr>
            </w:pPr>
            <w:r>
              <w:rPr>
                <w:sz w:val="28"/>
                <w:szCs w:val="28"/>
              </w:rPr>
              <w:t xml:space="preserve">у</w:t>
            </w:r>
            <w:r>
              <w:rPr>
                <w:sz w:val="28"/>
                <w:szCs w:val="28"/>
              </w:rPr>
              <w:t xml:space="preserve">дельный суммарный расход энергетических ресурсов в многоквартирных домах;</w:t>
            </w:r>
          </w:p>
          <w:p>
            <w:pPr>
              <w:pStyle w:val="ConsPlusNormal"/>
              <w:jc w:val="both"/>
              <w:rPr>
                <w:sz w:val="28"/>
                <w:szCs w:val="28"/>
              </w:rPr>
            </w:pPr>
            <w:r>
              <w:rPr>
                <w:sz w:val="28"/>
                <w:szCs w:val="28"/>
              </w:rPr>
              <w:t xml:space="preserve">у</w:t>
            </w:r>
            <w:r>
              <w:rPr>
                <w:sz w:val="28"/>
                <w:szCs w:val="28"/>
              </w:rPr>
              <w:t xml:space="preserve">дельный расход топлива на выработку тепловой энергии на котельных;</w:t>
            </w:r>
          </w:p>
          <w:p>
            <w:pPr>
              <w:pStyle w:val="ConsPlusNormal"/>
              <w:jc w:val="both"/>
              <w:rPr>
                <w:sz w:val="28"/>
                <w:szCs w:val="28"/>
              </w:rPr>
            </w:pPr>
            <w:r>
              <w:rPr>
                <w:sz w:val="28"/>
                <w:szCs w:val="28"/>
              </w:rPr>
              <w:t xml:space="preserve">у</w:t>
            </w:r>
            <w:r>
              <w:rPr>
                <w:sz w:val="28"/>
                <w:szCs w:val="28"/>
              </w:rPr>
              <w:t xml:space="preserve">дельный расход электрической энергии, </w:t>
            </w:r>
            <w:r>
              <w:rPr>
                <w:sz w:val="28"/>
                <w:szCs w:val="28"/>
              </w:rPr>
              <w:t xml:space="preserve">используемой при передаче тепловой энергии в системах теплоснабжения;</w:t>
            </w:r>
          </w:p>
          <w:p>
            <w:pPr>
              <w:pStyle w:val="ConsPlusNormal"/>
              <w:jc w:val="both"/>
              <w:rPr>
                <w:sz w:val="28"/>
                <w:szCs w:val="28"/>
              </w:rPr>
            </w:pPr>
            <w:r>
              <w:rPr>
                <w:sz w:val="28"/>
                <w:szCs w:val="28"/>
              </w:rPr>
              <w:t xml:space="preserve">у</w:t>
            </w:r>
            <w:r>
              <w:rPr>
                <w:sz w:val="28"/>
                <w:szCs w:val="28"/>
              </w:rPr>
              <w:t xml:space="preserve">дельный расход электрической энергии, используемой для передачи (транспортировки) воды в системах водоснабжения (на 1 куб. м);</w:t>
            </w:r>
          </w:p>
          <w:p>
            <w:pPr>
              <w:pStyle w:val="ConsPlusNormal"/>
              <w:jc w:val="both"/>
              <w:rPr>
                <w:sz w:val="28"/>
                <w:szCs w:val="28"/>
              </w:rPr>
            </w:pPr>
            <w:r>
              <w:rPr>
                <w:sz w:val="28"/>
                <w:szCs w:val="28"/>
              </w:rPr>
              <w:t xml:space="preserve">у</w:t>
            </w:r>
            <w:r>
              <w:rPr>
                <w:sz w:val="28"/>
                <w:szCs w:val="28"/>
              </w:rPr>
              <w:t xml:space="preserve">дельный расход электрической энергии, используемой в системах водоотведения (на 1 куб. м);</w:t>
            </w:r>
          </w:p>
          <w:p>
            <w:pPr>
              <w:pStyle w:val="ConsPlusNormal"/>
              <w:jc w:val="both"/>
              <w:rPr>
                <w:sz w:val="28"/>
                <w:szCs w:val="28"/>
              </w:rPr>
            </w:pPr>
            <w:r>
              <w:rPr>
                <w:sz w:val="28"/>
                <w:szCs w:val="28"/>
              </w:rPr>
              <w:t xml:space="preserve">у</w:t>
            </w:r>
            <w:r>
              <w:rPr>
                <w:sz w:val="28"/>
                <w:szCs w:val="28"/>
              </w:rPr>
              <w:t xml:space="preserve">дельный расход электрической энергии в системах уличного освещения (на 1 кв. м</w:t>
            </w:r>
            <w:r>
              <w:rPr>
                <w:sz w:val="28"/>
                <w:szCs w:val="28"/>
              </w:rPr>
              <w:t xml:space="preserve"> освещаемой площади с уровнем освещенности соответствующим установленным нормативам</w:t>
            </w:r>
            <w:r>
              <w:rPr>
                <w:sz w:val="28"/>
                <w:szCs w:val="28"/>
              </w:rPr>
              <w:t xml:space="preserve">)</w:t>
            </w:r>
          </w:p>
          <w:p>
            <w:pPr>
              <w:pStyle w:val="ConsPlusNormal"/>
              <w:jc w:val="both"/>
              <w:rPr>
                <w:sz w:val="28"/>
                <w:szCs w:val="28"/>
              </w:rPr>
            </w:pPr>
          </w:p>
          <w:p>
            <w:pPr>
              <w:pStyle w:val="ConsPlusNormal"/>
              <w:jc w:val="both"/>
              <w:rPr>
                <w:sz w:val="28"/>
                <w:szCs w:val="28"/>
              </w:rPr>
            </w:pPr>
            <w:r>
              <w:rPr>
                <w:sz w:val="28"/>
                <w:szCs w:val="28"/>
              </w:rPr>
              <w:t xml:space="preserve">о</w:t>
            </w:r>
            <w:r>
              <w:rPr>
                <w:sz w:val="28"/>
                <w:szCs w:val="28"/>
              </w:rPr>
              <w:t xml:space="preserve">беспечение учета объема потребляемых энергетических ресурсов</w:t>
            </w:r>
            <w:r>
              <w:rPr>
                <w:sz w:val="28"/>
                <w:szCs w:val="28"/>
              </w:rPr>
              <w:t xml:space="preserve">;</w:t>
            </w:r>
          </w:p>
          <w:p>
            <w:pPr>
              <w:pStyle w:val="ConsPlusNormal"/>
              <w:jc w:val="both"/>
              <w:rPr>
                <w:sz w:val="28"/>
                <w:szCs w:val="28"/>
              </w:rPr>
            </w:pPr>
            <w:r>
              <w:rPr>
                <w:sz w:val="28"/>
                <w:szCs w:val="28"/>
              </w:rPr>
              <w:t xml:space="preserve">с</w:t>
            </w:r>
            <w:r>
              <w:rPr>
                <w:sz w:val="28"/>
                <w:szCs w:val="28"/>
              </w:rPr>
              <w:t xml:space="preserve">нижение расходов бюджета города Ставрополя на оплату за потребленные энергетические ресурсы</w:t>
            </w:r>
            <w:r>
              <w:rPr>
                <w:sz w:val="28"/>
                <w:szCs w:val="28"/>
              </w:rPr>
              <w:t xml:space="preserve">;</w:t>
            </w:r>
          </w:p>
          <w:p>
            <w:pPr>
              <w:pStyle w:val="ConsPlusNormal"/>
              <w:jc w:val="both"/>
              <w:rPr>
                <w:sz w:val="28"/>
                <w:szCs w:val="28"/>
              </w:rPr>
            </w:pPr>
            <w:r>
              <w:rPr>
                <w:sz w:val="28"/>
                <w:szCs w:val="28"/>
              </w:rPr>
              <w:t xml:space="preserve">с</w:t>
            </w:r>
            <w:r>
              <w:rPr>
                <w:sz w:val="28"/>
                <w:szCs w:val="28"/>
              </w:rPr>
              <w:t xml:space="preserve">окращение потерь энергетических ресурсов при их транспортировке</w:t>
            </w:r>
            <w:r>
              <w:rPr>
                <w:sz w:val="28"/>
                <w:szCs w:val="28"/>
              </w:rPr>
              <w:t xml:space="preserve">;</w:t>
            </w:r>
          </w:p>
          <w:p>
            <w:pPr>
              <w:pStyle w:val="ConsPlusNormal"/>
              <w:jc w:val="both"/>
              <w:rPr>
                <w:sz w:val="28"/>
                <w:szCs w:val="28"/>
              </w:rPr>
            </w:pPr>
            <w:r>
              <w:rPr>
                <w:sz w:val="28"/>
                <w:szCs w:val="28"/>
              </w:rPr>
              <w:t xml:space="preserve">повышение </w:t>
            </w:r>
            <w:r>
              <w:rPr>
                <w:sz w:val="28"/>
                <w:szCs w:val="28"/>
              </w:rPr>
              <w:t xml:space="preserve">эффективности </w:t>
            </w:r>
            <w:r>
              <w:rPr>
                <w:sz w:val="28"/>
                <w:szCs w:val="28"/>
              </w:rPr>
              <w:t xml:space="preserve">энергопотребления путем внедрения современных энергосберегающих технологий и оборудования в бюджетном секторе, в жилищном фонде и системах коммунальной инфраструктуры</w:t>
            </w:r>
            <w:r>
              <w:rPr>
                <w:sz w:val="28"/>
                <w:szCs w:val="28"/>
              </w:rPr>
              <w:t xml:space="preserve">;</w:t>
            </w:r>
          </w:p>
          <w:p>
            <w:pPr>
              <w:pStyle w:val="ConsPlusNormal"/>
              <w:jc w:val="both"/>
              <w:rPr>
                <w:sz w:val="28"/>
                <w:szCs w:val="28"/>
              </w:rPr>
            </w:pPr>
            <w:r>
              <w:rPr>
                <w:sz w:val="28"/>
                <w:szCs w:val="28"/>
              </w:rPr>
              <w:t xml:space="preserve">д</w:t>
            </w:r>
            <w:r>
              <w:rPr>
                <w:sz w:val="28"/>
                <w:szCs w:val="28"/>
              </w:rPr>
              <w:t xml:space="preserve">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города Ставрополя;</w:t>
            </w:r>
          </w:p>
          <w:p>
            <w:pPr>
              <w:pStyle w:val="ConsPlusNormal"/>
              <w:jc w:val="both"/>
              <w:rPr>
                <w:sz w:val="28"/>
                <w:szCs w:val="28"/>
              </w:rPr>
            </w:pPr>
            <w:r>
              <w:rPr>
                <w:sz w:val="28"/>
                <w:szCs w:val="28"/>
              </w:rPr>
              <w:t xml:space="preserve">д</w:t>
            </w:r>
            <w:r>
              <w:rPr>
                <w:sz w:val="28"/>
                <w:szCs w:val="28"/>
              </w:rPr>
              <w:t xml:space="preserve">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города Ставрополя;</w:t>
            </w:r>
          </w:p>
          <w:p>
            <w:pPr>
              <w:pStyle w:val="ConsPlusNormal"/>
              <w:jc w:val="both"/>
              <w:rPr>
                <w:sz w:val="28"/>
                <w:szCs w:val="28"/>
              </w:rPr>
            </w:pPr>
            <w:r>
              <w:rPr>
                <w:sz w:val="28"/>
                <w:szCs w:val="28"/>
              </w:rPr>
              <w:t xml:space="preserve">д</w:t>
            </w:r>
            <w:r>
              <w:rPr>
                <w:sz w:val="28"/>
                <w:szCs w:val="28"/>
              </w:rPr>
              <w:t xml:space="preserve">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города Ставрополя;</w:t>
            </w:r>
          </w:p>
          <w:p>
            <w:pPr>
              <w:pStyle w:val="ConsPlusNormal"/>
              <w:jc w:val="both"/>
              <w:rPr>
                <w:sz w:val="28"/>
                <w:szCs w:val="28"/>
              </w:rPr>
            </w:pPr>
            <w:r>
              <w:rPr>
                <w:sz w:val="28"/>
                <w:szCs w:val="28"/>
              </w:rPr>
              <w:t xml:space="preserve">д</w:t>
            </w:r>
            <w:r>
              <w:rPr>
                <w:sz w:val="28"/>
                <w:szCs w:val="28"/>
              </w:rPr>
              <w:t xml:space="preserve">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города Ставрополя</w:t>
            </w:r>
          </w:p>
        </w:tc>
      </w:tr>
      <w:tr>
        <w:trPr>
          <w:trHeight w:val="748"/>
        </w:trPr>
        <w:tc>
          <w:tcPr>
            <w:tcW w:w="3544" w:type="dxa"/>
            <w:shd w:val="clear" w:color="auto" w:fill="auto"/>
          </w:tcPr>
          <w:p>
            <w:pPr>
              <w:pStyle w:val="ConsPlusNormal"/>
              <w:rPr>
                <w:sz w:val="28"/>
                <w:szCs w:val="28"/>
              </w:rPr>
            </w:pPr>
            <w:r>
              <w:rPr>
                <w:sz w:val="28"/>
                <w:szCs w:val="28"/>
              </w:rPr>
              <w:t xml:space="preserve">Сроки реализации Программы</w:t>
            </w:r>
          </w:p>
        </w:tc>
        <w:tc>
          <w:tcPr>
            <w:tcW w:w="5528" w:type="dxa"/>
            <w:shd w:val="clear" w:color="auto" w:fill="auto"/>
          </w:tcPr>
          <w:p>
            <w:pPr>
              <w:pStyle w:val="ConsPlusNormal"/>
              <w:jc w:val="both"/>
              <w:rPr>
                <w:sz w:val="28"/>
                <w:szCs w:val="28"/>
              </w:rPr>
            </w:pPr>
            <w:r>
              <w:rPr>
                <w:sz w:val="28"/>
                <w:szCs w:val="28"/>
              </w:rPr>
              <w:t xml:space="preserve">2023 - 2028 годы</w:t>
            </w:r>
          </w:p>
        </w:tc>
      </w:tr>
      <w:tr>
        <w:trPr>
          <w:trHeight w:val="8528"/>
        </w:trPr>
        <w:tc>
          <w:tcPr>
            <w:tcW w:w="3544" w:type="dxa"/>
            <w:shd w:val="clear" w:color="auto" w:fill="auto"/>
          </w:tcPr>
          <w:p>
            <w:pPr>
              <w:pStyle w:val="ConsPlusNormal"/>
              <w:rPr>
                <w:sz w:val="28"/>
                <w:szCs w:val="28"/>
              </w:rPr>
            </w:pPr>
            <w:r>
              <w:rPr>
                <w:sz w:val="28"/>
                <w:szCs w:val="28"/>
              </w:rPr>
              <w:t xml:space="preserve">О</w:t>
            </w:r>
            <w:r>
              <w:rPr>
                <w:sz w:val="28"/>
                <w:szCs w:val="28"/>
              </w:rPr>
              <w:t xml:space="preserve">бъемы и источники финансового обеспечения Программы</w:t>
            </w: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p>
          <w:p>
            <w:pPr>
              <w:pStyle w:val="ConsPlusNormal"/>
              <w:rPr>
                <w:sz w:val="28"/>
                <w:szCs w:val="28"/>
              </w:rPr>
            </w:pPr>
            <w:r>
              <w:rPr>
                <w:sz w:val="28"/>
                <w:szCs w:val="28"/>
              </w:rPr>
              <w:t xml:space="preserve">Ожидаемые конечные результаты реализации Программы</w:t>
            </w:r>
          </w:p>
          <w:p>
            <w:pPr>
              <w:pStyle w:val="ConsPlusNormal"/>
              <w:rPr>
                <w:sz w:val="28"/>
                <w:szCs w:val="28"/>
              </w:rPr>
            </w:pPr>
          </w:p>
        </w:tc>
        <w:tc>
          <w:tcPr>
            <w:tcW w:w="5528" w:type="dxa"/>
            <w:shd w:val="clear" w:color="auto" w:fill="auto"/>
          </w:tcPr>
          <w:p>
            <w:pPr>
              <w:pStyle w:val="ConsPlusNormal"/>
              <w:jc w:val="both"/>
              <w:rPr>
                <w:sz w:val="28"/>
                <w:szCs w:val="28"/>
              </w:rPr>
            </w:pPr>
            <w:r>
              <w:rPr>
                <w:sz w:val="28"/>
                <w:szCs w:val="28"/>
              </w:rPr>
              <w:t xml:space="preserve">общий объем  </w:t>
            </w:r>
            <w:r>
              <w:rPr>
                <w:sz w:val="28"/>
                <w:szCs w:val="28"/>
              </w:rPr>
              <w:t xml:space="preserve">финансирования П</w:t>
            </w:r>
            <w:r>
              <w:rPr>
                <w:sz w:val="28"/>
                <w:szCs w:val="28"/>
              </w:rPr>
              <w:t xml:space="preserve">рограммы состав</w:t>
            </w:r>
            <w:r>
              <w:rPr>
                <w:sz w:val="28"/>
                <w:szCs w:val="28"/>
              </w:rPr>
              <w:t xml:space="preserve">ляе</w:t>
            </w:r>
            <w:r>
              <w:rPr>
                <w:sz w:val="28"/>
                <w:szCs w:val="28"/>
              </w:rPr>
              <w:t xml:space="preserve">т</w:t>
            </w:r>
            <w:r>
              <w:rPr>
                <w:sz w:val="28"/>
                <w:szCs w:val="28"/>
              </w:rPr>
              <w:t xml:space="preserve"> 1 680 999,09 тыс. рублей</w:t>
            </w:r>
            <w:r>
              <w:rPr>
                <w:sz w:val="28"/>
                <w:szCs w:val="28"/>
              </w:rPr>
              <w:t xml:space="preserve">, в том числе</w:t>
            </w:r>
            <w:r>
              <w:rPr>
                <w:sz w:val="28"/>
                <w:szCs w:val="28"/>
              </w:rPr>
              <w:t xml:space="preserve"> по годам</w:t>
            </w:r>
            <w:r>
              <w:rPr>
                <w:sz w:val="28"/>
                <w:szCs w:val="28"/>
              </w:rPr>
              <w:t xml:space="preserve">:</w:t>
            </w:r>
          </w:p>
          <w:p>
            <w:pPr>
              <w:pStyle w:val="ConsPlusNormal"/>
              <w:jc w:val="both"/>
              <w:rPr>
                <w:sz w:val="28"/>
                <w:szCs w:val="28"/>
              </w:rPr>
            </w:pPr>
            <w:r>
              <w:rPr>
                <w:sz w:val="28"/>
                <w:szCs w:val="28"/>
              </w:rPr>
              <w:t xml:space="preserve">2023 год – 217 293,</w:t>
            </w:r>
            <w:r>
              <w:rPr>
                <w:sz w:val="28"/>
                <w:szCs w:val="28"/>
              </w:rPr>
              <w:t xml:space="preserve">59</w:t>
            </w:r>
            <w:r>
              <w:rPr>
                <w:sz w:val="28"/>
                <w:szCs w:val="28"/>
              </w:rPr>
              <w:t xml:space="preserve"> тыс. рублей;</w:t>
            </w:r>
          </w:p>
          <w:p>
            <w:pPr>
              <w:pStyle w:val="ConsPlusNormal"/>
              <w:jc w:val="both"/>
              <w:rPr>
                <w:sz w:val="28"/>
                <w:szCs w:val="28"/>
              </w:rPr>
            </w:pPr>
            <w:r>
              <w:rPr>
                <w:sz w:val="28"/>
                <w:szCs w:val="28"/>
              </w:rPr>
              <w:t xml:space="preserve">2024 год – 278 040,30</w:t>
            </w:r>
            <w:r>
              <w:rPr>
                <w:sz w:val="28"/>
                <w:szCs w:val="28"/>
              </w:rPr>
              <w:t xml:space="preserve"> тыс. рублей;</w:t>
            </w:r>
          </w:p>
          <w:p>
            <w:pPr>
              <w:pStyle w:val="ConsPlusNormal"/>
              <w:jc w:val="both"/>
              <w:rPr>
                <w:sz w:val="28"/>
                <w:szCs w:val="28"/>
              </w:rPr>
            </w:pPr>
            <w:r>
              <w:rPr>
                <w:sz w:val="28"/>
                <w:szCs w:val="28"/>
              </w:rPr>
              <w:t xml:space="preserve">2025 год – 296 416,30</w:t>
            </w:r>
            <w:r>
              <w:rPr>
                <w:sz w:val="28"/>
                <w:szCs w:val="28"/>
              </w:rPr>
              <w:t xml:space="preserve"> тыс. рублей;</w:t>
            </w:r>
          </w:p>
          <w:p>
            <w:pPr>
              <w:pStyle w:val="ConsPlusNormal"/>
              <w:jc w:val="both"/>
              <w:rPr>
                <w:sz w:val="28"/>
                <w:szCs w:val="28"/>
              </w:rPr>
            </w:pPr>
            <w:r>
              <w:rPr>
                <w:sz w:val="28"/>
                <w:szCs w:val="28"/>
              </w:rPr>
              <w:t xml:space="preserve">2026 год –</w:t>
            </w:r>
            <w:r>
              <w:rPr>
                <w:sz w:val="28"/>
                <w:szCs w:val="28"/>
              </w:rPr>
              <w:t xml:space="preserve"> 296 416,30</w:t>
            </w:r>
            <w:r>
              <w:rPr>
                <w:sz w:val="28"/>
                <w:szCs w:val="28"/>
              </w:rPr>
              <w:t xml:space="preserve"> тыс. рублей;</w:t>
            </w:r>
          </w:p>
          <w:p>
            <w:pPr>
              <w:pStyle w:val="ConsPlusNormal"/>
              <w:jc w:val="both"/>
              <w:rPr>
                <w:sz w:val="28"/>
                <w:szCs w:val="28"/>
              </w:rPr>
            </w:pPr>
            <w:r>
              <w:rPr>
                <w:sz w:val="28"/>
                <w:szCs w:val="28"/>
              </w:rPr>
              <w:t xml:space="preserve">2027 год –</w:t>
            </w:r>
            <w:r>
              <w:rPr>
                <w:sz w:val="28"/>
                <w:szCs w:val="28"/>
              </w:rPr>
              <w:t xml:space="preserve"> 296 416,30</w:t>
            </w:r>
            <w:r>
              <w:rPr>
                <w:sz w:val="28"/>
                <w:szCs w:val="28"/>
              </w:rPr>
              <w:t xml:space="preserve"> тыс. рублей;</w:t>
            </w:r>
          </w:p>
          <w:p>
            <w:pPr>
              <w:pStyle w:val="ConsPlusNormal"/>
              <w:jc w:val="both"/>
              <w:rPr>
                <w:sz w:val="28"/>
                <w:szCs w:val="28"/>
              </w:rPr>
            </w:pPr>
            <w:r>
              <w:rPr>
                <w:sz w:val="28"/>
                <w:szCs w:val="28"/>
              </w:rPr>
              <w:t xml:space="preserve">2028 год –</w:t>
            </w:r>
            <w:r>
              <w:rPr>
                <w:sz w:val="28"/>
                <w:szCs w:val="28"/>
              </w:rPr>
              <w:t xml:space="preserve"> 296 416,30</w:t>
            </w:r>
            <w:r>
              <w:rPr>
                <w:sz w:val="28"/>
                <w:szCs w:val="28"/>
              </w:rPr>
              <w:t xml:space="preserve"> тыс. рублей</w:t>
            </w:r>
            <w:r>
              <w:rPr>
                <w:sz w:val="28"/>
                <w:szCs w:val="28"/>
              </w:rPr>
              <w:t xml:space="preserve">.</w:t>
            </w:r>
          </w:p>
          <w:p>
            <w:pPr>
              <w:pStyle w:val="ConsPlusNormal"/>
              <w:jc w:val="both"/>
              <w:rPr>
                <w:sz w:val="28"/>
                <w:szCs w:val="28"/>
              </w:rPr>
            </w:pPr>
            <w:r>
              <w:rPr>
                <w:sz w:val="28"/>
                <w:szCs w:val="28"/>
              </w:rPr>
              <w:t xml:space="preserve">Из них за счет средств:</w:t>
            </w:r>
          </w:p>
          <w:p>
            <w:pPr>
              <w:pStyle w:val="ConsPlusNormal"/>
              <w:jc w:val="both"/>
              <w:rPr>
                <w:sz w:val="28"/>
                <w:szCs w:val="28"/>
              </w:rPr>
            </w:pPr>
            <w:r>
              <w:rPr>
                <w:sz w:val="28"/>
                <w:szCs w:val="28"/>
              </w:rPr>
              <w:t xml:space="preserve">бюджета города Ставрополя 56 156,04 </w:t>
            </w:r>
            <w:r>
              <w:rPr>
                <w:sz w:val="28"/>
                <w:szCs w:val="28"/>
              </w:rPr>
              <w:t xml:space="preserve">тыс. рублей, в том числе:</w:t>
            </w:r>
          </w:p>
          <w:p>
            <w:pPr>
              <w:pStyle w:val="ConsPlusNormal"/>
              <w:jc w:val="both"/>
              <w:rPr>
                <w:sz w:val="28"/>
                <w:szCs w:val="28"/>
              </w:rPr>
            </w:pPr>
            <w:r>
              <w:rPr>
                <w:sz w:val="28"/>
                <w:szCs w:val="28"/>
              </w:rPr>
              <w:t xml:space="preserve">2023 год –</w:t>
            </w:r>
            <w:r>
              <w:rPr>
                <w:sz w:val="28"/>
                <w:szCs w:val="28"/>
              </w:rPr>
              <w:t xml:space="preserve"> </w:t>
            </w:r>
            <w:r>
              <w:rPr>
                <w:sz w:val="28"/>
                <w:szCs w:val="28"/>
              </w:rPr>
              <w:t xml:space="preserve">9359,34 тыс. рублей;</w:t>
            </w:r>
          </w:p>
          <w:p>
            <w:pPr>
              <w:pStyle w:val="ConsPlusNormal"/>
              <w:jc w:val="both"/>
              <w:rPr>
                <w:sz w:val="28"/>
                <w:szCs w:val="28"/>
              </w:rPr>
            </w:pPr>
            <w:r>
              <w:rPr>
                <w:sz w:val="28"/>
                <w:szCs w:val="28"/>
              </w:rPr>
              <w:t xml:space="preserve">2024 год –</w:t>
            </w:r>
            <w:r>
              <w:rPr>
                <w:sz w:val="28"/>
                <w:szCs w:val="28"/>
              </w:rPr>
              <w:t xml:space="preserve"> </w:t>
            </w:r>
            <w:r>
              <w:rPr>
                <w:sz w:val="28"/>
                <w:szCs w:val="28"/>
              </w:rPr>
              <w:t xml:space="preserve">9359,34 тыс. рублей;</w:t>
            </w:r>
          </w:p>
          <w:p>
            <w:pPr>
              <w:pStyle w:val="ConsPlusNormal"/>
              <w:jc w:val="both"/>
              <w:rPr>
                <w:sz w:val="28"/>
                <w:szCs w:val="28"/>
              </w:rPr>
            </w:pPr>
            <w:r>
              <w:rPr>
                <w:sz w:val="28"/>
                <w:szCs w:val="28"/>
              </w:rPr>
              <w:t xml:space="preserve">2025 год –</w:t>
            </w:r>
            <w:r>
              <w:rPr>
                <w:sz w:val="28"/>
                <w:szCs w:val="28"/>
              </w:rPr>
              <w:t xml:space="preserve"> </w:t>
            </w:r>
            <w:r>
              <w:rPr>
                <w:sz w:val="28"/>
                <w:szCs w:val="28"/>
              </w:rPr>
              <w:t xml:space="preserve">9359,34 тыс. рублей;</w:t>
            </w:r>
          </w:p>
          <w:p>
            <w:pPr>
              <w:pStyle w:val="ConsPlusNormal"/>
              <w:jc w:val="both"/>
              <w:rPr>
                <w:sz w:val="28"/>
                <w:szCs w:val="28"/>
              </w:rPr>
            </w:pPr>
            <w:r>
              <w:rPr>
                <w:sz w:val="28"/>
                <w:szCs w:val="28"/>
              </w:rPr>
              <w:t xml:space="preserve">2026 год –</w:t>
            </w:r>
            <w:r>
              <w:rPr>
                <w:sz w:val="28"/>
                <w:szCs w:val="28"/>
              </w:rPr>
              <w:t xml:space="preserve"> </w:t>
            </w:r>
            <w:r>
              <w:rPr>
                <w:sz w:val="28"/>
                <w:szCs w:val="28"/>
              </w:rPr>
              <w:t xml:space="preserve">9359,34 тыс. рублей;</w:t>
            </w:r>
          </w:p>
          <w:p>
            <w:pPr>
              <w:pStyle w:val="ConsPlusNormal"/>
              <w:jc w:val="both"/>
              <w:rPr>
                <w:sz w:val="28"/>
                <w:szCs w:val="28"/>
              </w:rPr>
            </w:pPr>
            <w:r>
              <w:rPr>
                <w:sz w:val="28"/>
                <w:szCs w:val="28"/>
              </w:rPr>
              <w:t xml:space="preserve">2027 год –</w:t>
            </w:r>
            <w:r>
              <w:rPr>
                <w:sz w:val="28"/>
                <w:szCs w:val="28"/>
              </w:rPr>
              <w:t xml:space="preserve"> </w:t>
            </w:r>
            <w:r>
              <w:rPr>
                <w:sz w:val="28"/>
                <w:szCs w:val="28"/>
              </w:rPr>
              <w:t xml:space="preserve">9359,34 тыс. рублей;</w:t>
            </w:r>
          </w:p>
          <w:p>
            <w:pPr>
              <w:pStyle w:val="ConsPlusNormal"/>
              <w:jc w:val="both"/>
              <w:rPr>
                <w:sz w:val="28"/>
                <w:szCs w:val="28"/>
              </w:rPr>
            </w:pPr>
            <w:r>
              <w:rPr>
                <w:sz w:val="28"/>
                <w:szCs w:val="28"/>
              </w:rPr>
              <w:t xml:space="preserve">2028 год –</w:t>
            </w:r>
            <w:r>
              <w:rPr>
                <w:sz w:val="28"/>
                <w:szCs w:val="28"/>
              </w:rPr>
              <w:t xml:space="preserve"> </w:t>
            </w:r>
            <w:r>
              <w:rPr>
                <w:sz w:val="28"/>
                <w:szCs w:val="28"/>
              </w:rPr>
              <w:t xml:space="preserve">9359,34 тыс. рублей</w:t>
            </w:r>
            <w:r>
              <w:rPr>
                <w:sz w:val="28"/>
                <w:szCs w:val="28"/>
              </w:rPr>
              <w:t xml:space="preserve">;</w:t>
            </w:r>
          </w:p>
          <w:p>
            <w:pPr>
              <w:pStyle w:val="ConsPlusNormal"/>
              <w:jc w:val="both"/>
              <w:rPr>
                <w:sz w:val="28"/>
                <w:szCs w:val="28"/>
              </w:rPr>
            </w:pPr>
            <w:r>
              <w:rPr>
                <w:sz w:val="28"/>
                <w:szCs w:val="28"/>
              </w:rPr>
              <w:t xml:space="preserve">собственни</w:t>
            </w:r>
            <w:r>
              <w:rPr>
                <w:sz w:val="28"/>
                <w:szCs w:val="28"/>
              </w:rPr>
              <w:t xml:space="preserve">ков помещений в многоквартирных </w:t>
            </w:r>
            <w:r>
              <w:rPr>
                <w:sz w:val="28"/>
                <w:szCs w:val="28"/>
              </w:rPr>
              <w:t xml:space="preserve">домах</w:t>
            </w:r>
            <w:r>
              <w:rPr>
                <w:sz w:val="28"/>
                <w:szCs w:val="28"/>
              </w:rPr>
              <w:t xml:space="preserve"> 104 939,05 </w:t>
            </w:r>
            <w:r>
              <w:rPr>
                <w:sz w:val="28"/>
                <w:szCs w:val="28"/>
              </w:rPr>
              <w:t xml:space="preserve">тыс. рублей, в том числе:</w:t>
            </w:r>
          </w:p>
          <w:p>
            <w:pPr>
              <w:pStyle w:val="ConsPlusNormal"/>
              <w:jc w:val="both"/>
              <w:rPr>
                <w:sz w:val="28"/>
                <w:szCs w:val="28"/>
              </w:rPr>
            </w:pPr>
            <w:r>
              <w:rPr>
                <w:sz w:val="28"/>
                <w:szCs w:val="28"/>
              </w:rPr>
              <w:t xml:space="preserve">2023 год –</w:t>
            </w:r>
            <w:r>
              <w:rPr>
                <w:sz w:val="28"/>
                <w:szCs w:val="28"/>
              </w:rPr>
              <w:t xml:space="preserve"> </w:t>
            </w:r>
            <w:r>
              <w:rPr>
                <w:sz w:val="28"/>
                <w:szCs w:val="28"/>
              </w:rPr>
              <w:t xml:space="preserve">16604,25</w:t>
            </w:r>
            <w:r>
              <w:rPr>
                <w:sz w:val="28"/>
                <w:szCs w:val="28"/>
              </w:rPr>
              <w:t xml:space="preserve"> </w:t>
            </w:r>
            <w:r>
              <w:rPr>
                <w:sz w:val="28"/>
                <w:szCs w:val="28"/>
              </w:rPr>
              <w:t xml:space="preserve">тыс. рублей;</w:t>
            </w:r>
          </w:p>
          <w:p>
            <w:pPr>
              <w:pStyle w:val="ConsPlusNormal"/>
              <w:jc w:val="both"/>
              <w:rPr>
                <w:sz w:val="28"/>
                <w:szCs w:val="28"/>
              </w:rPr>
            </w:pPr>
            <w:r>
              <w:rPr>
                <w:sz w:val="28"/>
                <w:szCs w:val="28"/>
              </w:rPr>
              <w:t xml:space="preserve">2024 год –</w:t>
            </w:r>
            <w:r>
              <w:rPr>
                <w:sz w:val="28"/>
                <w:szCs w:val="28"/>
              </w:rPr>
              <w:t xml:space="preserve"> </w:t>
            </w:r>
            <w:r>
              <w:rPr>
                <w:sz w:val="28"/>
                <w:szCs w:val="28"/>
              </w:rPr>
              <w:t xml:space="preserve">17666,96</w:t>
            </w:r>
            <w:r>
              <w:rPr>
                <w:sz w:val="28"/>
                <w:szCs w:val="28"/>
              </w:rPr>
              <w:t xml:space="preserve"> </w:t>
            </w:r>
            <w:r>
              <w:rPr>
                <w:sz w:val="28"/>
                <w:szCs w:val="28"/>
              </w:rPr>
              <w:t xml:space="preserve">тыс. рублей;</w:t>
            </w:r>
          </w:p>
          <w:p>
            <w:pPr>
              <w:pStyle w:val="ConsPlusNormal"/>
              <w:jc w:val="both"/>
              <w:rPr>
                <w:sz w:val="28"/>
                <w:szCs w:val="28"/>
              </w:rPr>
            </w:pPr>
            <w:r>
              <w:rPr>
                <w:sz w:val="28"/>
                <w:szCs w:val="28"/>
              </w:rPr>
              <w:t xml:space="preserve">2025 год –</w:t>
            </w:r>
            <w:r>
              <w:rPr>
                <w:sz w:val="28"/>
                <w:szCs w:val="28"/>
              </w:rPr>
              <w:t xml:space="preserve"> </w:t>
            </w:r>
            <w:r>
              <w:rPr>
                <w:sz w:val="28"/>
                <w:szCs w:val="28"/>
              </w:rPr>
              <w:t xml:space="preserve">17666,96</w:t>
            </w:r>
            <w:r>
              <w:rPr>
                <w:sz w:val="28"/>
                <w:szCs w:val="28"/>
              </w:rPr>
              <w:t xml:space="preserve"> </w:t>
            </w:r>
            <w:r>
              <w:rPr>
                <w:sz w:val="28"/>
                <w:szCs w:val="28"/>
              </w:rPr>
              <w:t xml:space="preserve">тыс. рублей;</w:t>
            </w:r>
          </w:p>
          <w:p>
            <w:pPr>
              <w:pStyle w:val="ConsPlusNormal"/>
              <w:jc w:val="both"/>
              <w:rPr>
                <w:sz w:val="28"/>
                <w:szCs w:val="28"/>
              </w:rPr>
            </w:pPr>
            <w:r>
              <w:rPr>
                <w:sz w:val="28"/>
                <w:szCs w:val="28"/>
              </w:rPr>
              <w:t xml:space="preserve">2026 год –</w:t>
            </w:r>
            <w:r>
              <w:rPr>
                <w:sz w:val="28"/>
                <w:szCs w:val="28"/>
              </w:rPr>
              <w:t xml:space="preserve"> </w:t>
            </w:r>
            <w:r>
              <w:rPr>
                <w:sz w:val="28"/>
                <w:szCs w:val="28"/>
              </w:rPr>
              <w:t xml:space="preserve">17666,96</w:t>
            </w:r>
            <w:r>
              <w:rPr>
                <w:sz w:val="28"/>
                <w:szCs w:val="28"/>
              </w:rPr>
              <w:t xml:space="preserve"> тыс. рублей;</w:t>
            </w:r>
          </w:p>
          <w:p>
            <w:pPr>
              <w:pStyle w:val="ConsPlusNormal"/>
              <w:jc w:val="both"/>
              <w:rPr>
                <w:sz w:val="28"/>
                <w:szCs w:val="28"/>
              </w:rPr>
            </w:pPr>
            <w:r>
              <w:rPr>
                <w:sz w:val="28"/>
                <w:szCs w:val="28"/>
              </w:rPr>
              <w:t xml:space="preserve">2027 год –</w:t>
            </w:r>
            <w:r>
              <w:rPr>
                <w:sz w:val="28"/>
                <w:szCs w:val="28"/>
              </w:rPr>
              <w:t xml:space="preserve"> </w:t>
            </w:r>
            <w:r>
              <w:rPr>
                <w:sz w:val="28"/>
                <w:szCs w:val="28"/>
              </w:rPr>
              <w:t xml:space="preserve">17666,96</w:t>
            </w:r>
            <w:r>
              <w:rPr>
                <w:sz w:val="28"/>
                <w:szCs w:val="28"/>
              </w:rPr>
              <w:t xml:space="preserve"> тыс. рублей;</w:t>
            </w:r>
          </w:p>
          <w:p>
            <w:pPr>
              <w:pStyle w:val="ConsPlusNormal"/>
              <w:jc w:val="both"/>
              <w:rPr>
                <w:sz w:val="28"/>
                <w:szCs w:val="28"/>
              </w:rPr>
            </w:pPr>
            <w:r>
              <w:rPr>
                <w:sz w:val="28"/>
                <w:szCs w:val="28"/>
              </w:rPr>
              <w:t xml:space="preserve">2028 год –</w:t>
            </w:r>
            <w:r>
              <w:rPr>
                <w:sz w:val="28"/>
                <w:szCs w:val="28"/>
              </w:rPr>
              <w:t xml:space="preserve"> </w:t>
            </w:r>
            <w:r>
              <w:rPr>
                <w:sz w:val="28"/>
                <w:szCs w:val="28"/>
              </w:rPr>
              <w:t xml:space="preserve">17666,96</w:t>
            </w:r>
            <w:r>
              <w:rPr>
                <w:sz w:val="28"/>
                <w:szCs w:val="28"/>
              </w:rPr>
              <w:t xml:space="preserve"> тыс. рублей</w:t>
            </w:r>
            <w:r>
              <w:rPr>
                <w:sz w:val="28"/>
                <w:szCs w:val="28"/>
              </w:rPr>
              <w:t xml:space="preserve">;</w:t>
            </w:r>
          </w:p>
          <w:p>
            <w:pPr>
              <w:pStyle w:val="ConsPlusNormal"/>
              <w:jc w:val="both"/>
              <w:rPr>
                <w:sz w:val="28"/>
                <w:szCs w:val="28"/>
                <w:lang w:eastAsia="ar-SA"/>
              </w:rPr>
            </w:pPr>
            <w:r>
              <w:rPr>
                <w:sz w:val="28"/>
                <w:szCs w:val="28"/>
              </w:rPr>
              <w:t xml:space="preserve">хозяйствующих </w:t>
            </w:r>
            <w:r>
              <w:rPr>
                <w:sz w:val="28"/>
                <w:szCs w:val="28"/>
              </w:rPr>
              <w:t xml:space="preserve">субъектов</w:t>
            </w:r>
            <w:r>
              <w:rPr>
                <w:sz w:val="28"/>
                <w:szCs w:val="28"/>
              </w:rPr>
              <w:t xml:space="preserve"> 1 519 904,00 </w:t>
            </w:r>
            <w:r>
              <w:rPr>
                <w:sz w:val="28"/>
                <w:szCs w:val="28"/>
              </w:rPr>
              <w:t xml:space="preserve">тыс. рублей, в том числе:</w:t>
            </w:r>
          </w:p>
          <w:p>
            <w:pPr>
              <w:pStyle w:val="ConsPlusNormal"/>
              <w:jc w:val="both"/>
              <w:rPr>
                <w:sz w:val="28"/>
                <w:szCs w:val="28"/>
                <w:lang w:eastAsia="ar-SA"/>
              </w:rPr>
            </w:pPr>
            <w:r>
              <w:rPr>
                <w:sz w:val="28"/>
                <w:szCs w:val="28"/>
              </w:rPr>
              <w:t xml:space="preserve">2023 год –</w:t>
            </w:r>
            <w:r>
              <w:rPr>
                <w:sz w:val="28"/>
                <w:szCs w:val="28"/>
              </w:rPr>
              <w:t xml:space="preserve"> </w:t>
            </w:r>
            <w:r>
              <w:rPr>
                <w:sz w:val="28"/>
                <w:szCs w:val="28"/>
              </w:rPr>
              <w:t xml:space="preserve">191330,00</w:t>
            </w:r>
            <w:r>
              <w:rPr>
                <w:sz w:val="28"/>
                <w:szCs w:val="28"/>
              </w:rPr>
              <w:t xml:space="preserve"> </w:t>
            </w:r>
            <w:r>
              <w:rPr>
                <w:sz w:val="28"/>
                <w:szCs w:val="28"/>
              </w:rPr>
              <w:t xml:space="preserve">тыс. рублей;</w:t>
            </w:r>
          </w:p>
          <w:p>
            <w:pPr>
              <w:pStyle w:val="ConsPlusNormal"/>
              <w:jc w:val="both"/>
              <w:rPr>
                <w:sz w:val="28"/>
                <w:szCs w:val="28"/>
                <w:lang w:eastAsia="ar-SA"/>
              </w:rPr>
            </w:pPr>
            <w:r>
              <w:rPr>
                <w:sz w:val="28"/>
                <w:szCs w:val="28"/>
              </w:rPr>
              <w:t xml:space="preserve">2024 год –</w:t>
            </w:r>
            <w:r>
              <w:rPr>
                <w:sz w:val="28"/>
                <w:szCs w:val="28"/>
              </w:rPr>
              <w:t xml:space="preserve"> </w:t>
            </w:r>
            <w:r>
              <w:rPr>
                <w:sz w:val="28"/>
                <w:szCs w:val="28"/>
              </w:rPr>
              <w:t xml:space="preserve">251014,00</w:t>
            </w:r>
            <w:r>
              <w:rPr>
                <w:sz w:val="28"/>
                <w:szCs w:val="28"/>
              </w:rPr>
              <w:t xml:space="preserve"> </w:t>
            </w:r>
            <w:r>
              <w:rPr>
                <w:sz w:val="28"/>
                <w:szCs w:val="28"/>
              </w:rPr>
              <w:t xml:space="preserve">тыс. рублей;</w:t>
            </w:r>
          </w:p>
          <w:p>
            <w:pPr>
              <w:pStyle w:val="ConsPlusNormal"/>
              <w:jc w:val="both"/>
              <w:rPr>
                <w:sz w:val="28"/>
                <w:szCs w:val="28"/>
                <w:lang w:eastAsia="ar-SA"/>
              </w:rPr>
            </w:pPr>
            <w:r>
              <w:rPr>
                <w:sz w:val="28"/>
                <w:szCs w:val="28"/>
              </w:rPr>
              <w:t xml:space="preserve">2025 год –</w:t>
            </w:r>
            <w:r>
              <w:rPr>
                <w:sz w:val="28"/>
                <w:szCs w:val="28"/>
              </w:rPr>
              <w:t xml:space="preserve"> </w:t>
            </w:r>
            <w:r>
              <w:rPr>
                <w:sz w:val="28"/>
                <w:szCs w:val="28"/>
              </w:rPr>
              <w:t xml:space="preserve">269390,00</w:t>
            </w:r>
            <w:r>
              <w:rPr>
                <w:sz w:val="28"/>
                <w:szCs w:val="28"/>
              </w:rPr>
              <w:t xml:space="preserve"> </w:t>
            </w:r>
            <w:r>
              <w:rPr>
                <w:sz w:val="28"/>
                <w:szCs w:val="28"/>
              </w:rPr>
              <w:t xml:space="preserve">тыс. рублей;</w:t>
            </w:r>
          </w:p>
          <w:p>
            <w:pPr>
              <w:pStyle w:val="ConsPlusNormal"/>
              <w:jc w:val="both"/>
              <w:rPr>
                <w:sz w:val="28"/>
                <w:szCs w:val="28"/>
              </w:rPr>
            </w:pPr>
            <w:r>
              <w:rPr>
                <w:sz w:val="28"/>
                <w:szCs w:val="28"/>
              </w:rPr>
              <w:t xml:space="preserve">2026 год –</w:t>
            </w:r>
            <w:r>
              <w:rPr>
                <w:sz w:val="28"/>
                <w:szCs w:val="28"/>
              </w:rPr>
              <w:t xml:space="preserve"> </w:t>
            </w:r>
            <w:r>
              <w:rPr>
                <w:sz w:val="28"/>
                <w:szCs w:val="28"/>
              </w:rPr>
              <w:t xml:space="preserve">269390,00</w:t>
            </w:r>
            <w:r>
              <w:rPr>
                <w:sz w:val="28"/>
                <w:szCs w:val="28"/>
              </w:rPr>
              <w:t xml:space="preserve"> тыс. рублей;</w:t>
            </w:r>
          </w:p>
          <w:p>
            <w:pPr>
              <w:pStyle w:val="ConsPlusNormal"/>
              <w:jc w:val="both"/>
              <w:rPr>
                <w:sz w:val="28"/>
                <w:szCs w:val="28"/>
              </w:rPr>
            </w:pPr>
            <w:r>
              <w:rPr>
                <w:sz w:val="28"/>
                <w:szCs w:val="28"/>
              </w:rPr>
              <w:t xml:space="preserve">2027 год –</w:t>
            </w:r>
            <w:r>
              <w:rPr>
                <w:sz w:val="28"/>
                <w:szCs w:val="28"/>
              </w:rPr>
              <w:t xml:space="preserve"> </w:t>
            </w:r>
            <w:r>
              <w:rPr>
                <w:sz w:val="28"/>
                <w:szCs w:val="28"/>
              </w:rPr>
              <w:t xml:space="preserve">269390,00</w:t>
            </w:r>
            <w:r>
              <w:rPr>
                <w:sz w:val="28"/>
                <w:szCs w:val="28"/>
              </w:rPr>
              <w:t xml:space="preserve"> тыс. рублей;</w:t>
            </w:r>
          </w:p>
          <w:p>
            <w:pPr>
              <w:pStyle w:val="ConsPlusNormal"/>
              <w:jc w:val="both"/>
              <w:rPr>
                <w:sz w:val="28"/>
                <w:szCs w:val="28"/>
                <w:lang w:eastAsia="ar-SA"/>
              </w:rPr>
            </w:pPr>
            <w:r>
              <w:rPr>
                <w:sz w:val="28"/>
                <w:szCs w:val="28"/>
              </w:rPr>
              <w:t xml:space="preserve">2028 год –</w:t>
            </w:r>
            <w:r>
              <w:rPr>
                <w:sz w:val="28"/>
                <w:szCs w:val="28"/>
              </w:rPr>
              <w:t xml:space="preserve"> </w:t>
            </w:r>
            <w:r>
              <w:rPr>
                <w:sz w:val="28"/>
                <w:szCs w:val="28"/>
              </w:rPr>
              <w:t xml:space="preserve">269390,00</w:t>
            </w:r>
            <w:r>
              <w:rPr>
                <w:sz w:val="28"/>
                <w:szCs w:val="28"/>
              </w:rPr>
              <w:t xml:space="preserve"> </w:t>
            </w:r>
            <w:r>
              <w:rPr>
                <w:sz w:val="28"/>
                <w:szCs w:val="28"/>
              </w:rPr>
              <w:t xml:space="preserve">тыс. рублей</w:t>
            </w:r>
            <w:r>
              <w:rPr>
                <w:sz w:val="28"/>
                <w:szCs w:val="28"/>
              </w:rPr>
              <w:t xml:space="preserve">.</w:t>
            </w:r>
          </w:p>
          <w:p>
            <w:pPr>
              <w:pStyle w:val="ConsPlusNormal"/>
              <w:jc w:val="both"/>
              <w:rPr>
                <w:sz w:val="28"/>
                <w:szCs w:val="28"/>
              </w:rPr>
            </w:pPr>
          </w:p>
          <w:p>
            <w:pPr>
              <w:pStyle w:val="ConsPlusNormal"/>
              <w:jc w:val="both"/>
              <w:rPr>
                <w:sz w:val="28"/>
                <w:szCs w:val="28"/>
              </w:rPr>
            </w:pPr>
            <w:r>
              <w:rPr>
                <w:sz w:val="28"/>
                <w:szCs w:val="28"/>
              </w:rPr>
              <w:t xml:space="preserve">увеличение доли объема электрической энергии, расчеты за которую осуществляются с использованием приборов учета, в общем объеме электрической</w:t>
            </w:r>
            <w:r>
              <w:rPr>
                <w:sz w:val="28"/>
                <w:szCs w:val="28"/>
              </w:rPr>
              <w:t xml:space="preserve"> </w:t>
            </w:r>
            <w:r>
              <w:rPr>
                <w:sz w:val="28"/>
                <w:szCs w:val="28"/>
              </w:rPr>
              <w:t xml:space="preserve">энергии, потребляемой (используемой) на территории города Ставрополя, с                           99 процентов в 2023 году до 100 процентов в 2028 году;</w:t>
            </w:r>
          </w:p>
          <w:p>
            <w:pPr>
              <w:pStyle w:val="ConsPlusNormal"/>
              <w:jc w:val="both"/>
              <w:rPr>
                <w:sz w:val="28"/>
                <w:szCs w:val="28"/>
              </w:rPr>
            </w:pPr>
            <w:r>
              <w:rPr>
                <w:sz w:val="28"/>
                <w:szCs w:val="28"/>
              </w:rPr>
              <w:t xml:space="preserve">увеличение доли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города Ставрополя, с 77,8 процента в 2023 году до 79 процентов в 2028 году;</w:t>
            </w:r>
          </w:p>
          <w:p>
            <w:pPr>
              <w:pStyle w:val="ConsPlusNormal"/>
              <w:jc w:val="both"/>
              <w:rPr>
                <w:sz w:val="28"/>
                <w:szCs w:val="28"/>
              </w:rPr>
            </w:pPr>
            <w:r>
              <w:rPr>
                <w:sz w:val="28"/>
                <w:szCs w:val="28"/>
              </w:rPr>
              <w:t xml:space="preserve">увеличение доли объема холодной воды, расчеты за которую осуществляются с использованием приборов учета, в общем объеме воды, потребляемой (используемой) на территории города Ставрополя, с                     86 процентов в 2023 году до 91 процента в 2028 году; </w:t>
            </w:r>
          </w:p>
          <w:p>
            <w:pPr>
              <w:pStyle w:val="ConsPlusNormal"/>
              <w:jc w:val="both"/>
              <w:rPr>
                <w:sz w:val="28"/>
                <w:szCs w:val="28"/>
              </w:rPr>
            </w:pPr>
            <w:r>
              <w:rPr>
                <w:sz w:val="28"/>
                <w:szCs w:val="28"/>
              </w:rPr>
              <w:t xml:space="preserve">увеличение доли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w:t>
            </w:r>
            <w:r>
              <w:rPr>
                <w:sz w:val="28"/>
                <w:szCs w:val="28"/>
              </w:rPr>
              <w:t xml:space="preserve">рритории города Ставрополя, с 85</w:t>
            </w:r>
            <w:r>
              <w:rPr>
                <w:sz w:val="28"/>
                <w:szCs w:val="28"/>
              </w:rPr>
              <w:t xml:space="preserve"> процен</w:t>
            </w:r>
            <w:r>
              <w:rPr>
                <w:sz w:val="28"/>
                <w:szCs w:val="28"/>
              </w:rPr>
              <w:t xml:space="preserve">тов в 2023 году до 91 процента </w:t>
            </w:r>
            <w:r>
              <w:rPr>
                <w:sz w:val="28"/>
                <w:szCs w:val="28"/>
              </w:rPr>
              <w:t xml:space="preserve">в 2028 году;</w:t>
            </w:r>
          </w:p>
          <w:p>
            <w:pPr>
              <w:pStyle w:val="ConsPlusNormal"/>
              <w:jc w:val="both"/>
              <w:rPr>
                <w:sz w:val="28"/>
                <w:szCs w:val="28"/>
              </w:rPr>
            </w:pPr>
            <w:r>
              <w:rPr>
                <w:sz w:val="28"/>
                <w:szCs w:val="28"/>
              </w:rPr>
              <w:t xml:space="preserve">снижение удельного расхода электрической энергии на снабжение органов местного самоуправления и муниципальных учреждений (в расчете на 1 кв. м общей площади) с 159,0 </w:t>
            </w:r>
            <w:r>
              <w:rPr>
                <w:sz w:val="28"/>
                <w:szCs w:val="28"/>
              </w:rPr>
              <w:t xml:space="preserve">кВт</w:t>
            </w:r>
            <w:r>
              <w:rPr>
                <w:sz w:val="28"/>
                <w:szCs w:val="28"/>
              </w:rPr>
              <w:t xml:space="preserve">.ч</w:t>
            </w:r>
            <w:r>
              <w:rPr>
                <w:sz w:val="28"/>
                <w:szCs w:val="28"/>
              </w:rPr>
              <w:t xml:space="preserve">/кв. м в 2023 году до 157,4 </w:t>
            </w:r>
            <w:r>
              <w:rPr>
                <w:sz w:val="28"/>
                <w:szCs w:val="28"/>
              </w:rPr>
              <w:t xml:space="preserve">кВт.ч</w:t>
            </w:r>
            <w:r>
              <w:rPr>
                <w:sz w:val="28"/>
                <w:szCs w:val="28"/>
              </w:rPr>
              <w:t xml:space="preserve">/кв. м в 2028 году; </w:t>
            </w:r>
          </w:p>
          <w:p>
            <w:pPr>
              <w:pStyle w:val="ConsPlusNormal"/>
              <w:jc w:val="both"/>
              <w:rPr>
                <w:sz w:val="28"/>
                <w:szCs w:val="28"/>
              </w:rPr>
            </w:pPr>
            <w:r>
              <w:rPr>
                <w:sz w:val="28"/>
                <w:szCs w:val="28"/>
              </w:rPr>
              <w:t xml:space="preserve">снижение удельного расхода тепловой энергии на снабжение органов местного</w:t>
            </w:r>
            <w:r>
              <w:rPr>
                <w:sz w:val="28"/>
                <w:szCs w:val="28"/>
              </w:rPr>
              <w:t xml:space="preserve"> </w:t>
            </w:r>
            <w:r>
              <w:rPr>
                <w:sz w:val="28"/>
                <w:szCs w:val="28"/>
              </w:rPr>
              <w:t xml:space="preserve">самоуправления и муниципальн</w:t>
            </w:r>
            <w:r>
              <w:rPr>
                <w:sz w:val="28"/>
                <w:szCs w:val="28"/>
              </w:rPr>
              <w:t xml:space="preserve">ых учреждений (в расчете на </w:t>
            </w:r>
            <w:r>
              <w:rPr>
                <w:sz w:val="28"/>
                <w:szCs w:val="28"/>
              </w:rPr>
              <w:t xml:space="preserve">1 кв. м общей площади) с 0,120 Гкал/кв. м в 2023 году до 0,118 Гкал/кв. м в 2028 году;</w:t>
            </w:r>
          </w:p>
          <w:p>
            <w:pPr>
              <w:pStyle w:val="ConsPlusNormal"/>
              <w:jc w:val="both"/>
              <w:rPr>
                <w:sz w:val="28"/>
                <w:szCs w:val="28"/>
              </w:rPr>
            </w:pPr>
            <w:r>
              <w:rPr>
                <w:sz w:val="28"/>
                <w:szCs w:val="28"/>
              </w:rPr>
              <w:t xml:space="preserve">снижение удельного расхода холодной воды на снабжение органов местного самоуправления и муниципал</w:t>
            </w:r>
            <w:r>
              <w:rPr>
                <w:sz w:val="28"/>
                <w:szCs w:val="28"/>
              </w:rPr>
              <w:t xml:space="preserve">ьных </w:t>
            </w:r>
            <w:r>
              <w:rPr>
                <w:sz w:val="28"/>
                <w:szCs w:val="28"/>
              </w:rPr>
              <w:t xml:space="preserve">учреждений (в расчете на </w:t>
            </w:r>
            <w:r>
              <w:rPr>
                <w:sz w:val="28"/>
                <w:szCs w:val="28"/>
              </w:rPr>
              <w:t xml:space="preserve">1 человека) с     1,22 куб. </w:t>
            </w:r>
            <w:r>
              <w:rPr>
                <w:sz w:val="28"/>
                <w:szCs w:val="28"/>
              </w:rPr>
              <w:t xml:space="preserve">м</w:t>
            </w:r>
            <w:r>
              <w:rPr>
                <w:sz w:val="28"/>
                <w:szCs w:val="28"/>
              </w:rPr>
              <w:t xml:space="preserve">/чел. в 2023 году до                                  1,19 куб. м/чел. в 2028 году; </w:t>
            </w:r>
          </w:p>
          <w:p>
            <w:pPr>
              <w:pStyle w:val="ConsPlusNormal"/>
              <w:jc w:val="both"/>
              <w:rPr>
                <w:sz w:val="28"/>
                <w:szCs w:val="28"/>
              </w:rPr>
            </w:pPr>
            <w:r>
              <w:rPr>
                <w:sz w:val="28"/>
                <w:szCs w:val="28"/>
              </w:rPr>
              <w:t xml:space="preserve">снижение удельного расхода природного газа на снабжение органов местного самоуправления и муниципальных учреждений (в расчете на 1 человека) с               0,82 куб. </w:t>
            </w:r>
            <w:r>
              <w:rPr>
                <w:sz w:val="28"/>
                <w:szCs w:val="28"/>
              </w:rPr>
              <w:t xml:space="preserve">м</w:t>
            </w:r>
            <w:r>
              <w:rPr>
                <w:sz w:val="28"/>
                <w:szCs w:val="28"/>
              </w:rPr>
              <w:t xml:space="preserve">/чел. в 2023 году до                                            0,80 куб. м/чел. в 2028 году; </w:t>
            </w:r>
          </w:p>
          <w:p>
            <w:pPr>
              <w:pStyle w:val="ConsPlusNormal"/>
              <w:jc w:val="both"/>
              <w:rPr>
                <w:sz w:val="28"/>
                <w:szCs w:val="28"/>
              </w:rPr>
            </w:pPr>
            <w:r>
              <w:rPr>
                <w:sz w:val="28"/>
                <w:szCs w:val="28"/>
              </w:rPr>
              <w:t xml:space="preserve">уменьшение удельного расхода тепловой энергии в многоквартирных домах (в расчете на 1 кв. м общей площади) с 0,071 Гкал/кв. м в 2023 году до 0,067 Гкал/кв. м в 2028 году; снижение удельного расхода холодной воды в многоквартирных домах (в расчете на                1 жителя) с 56,7 куб. </w:t>
            </w:r>
            <w:r>
              <w:rPr>
                <w:sz w:val="28"/>
                <w:szCs w:val="28"/>
              </w:rPr>
              <w:t xml:space="preserve">м</w:t>
            </w:r>
            <w:r>
              <w:rPr>
                <w:sz w:val="28"/>
                <w:szCs w:val="28"/>
              </w:rPr>
              <w:t xml:space="preserve">/чел. в 2023 году до 56,5 куб. м/чел. в 2028 году; </w:t>
            </w:r>
          </w:p>
          <w:p>
            <w:pPr>
              <w:pStyle w:val="ConsPlusNormal"/>
              <w:jc w:val="both"/>
              <w:rPr>
                <w:sz w:val="28"/>
                <w:szCs w:val="28"/>
              </w:rPr>
            </w:pPr>
            <w:r>
              <w:rPr>
                <w:sz w:val="28"/>
                <w:szCs w:val="28"/>
              </w:rPr>
              <w:t xml:space="preserve">сокращение удельного расхода электрической энергии в многоквартирных домах (в расчете на 1 кв. м общей площади) с 900,7кВт</w:t>
            </w:r>
            <w:r>
              <w:rPr>
                <w:sz w:val="28"/>
                <w:szCs w:val="28"/>
              </w:rPr>
              <w:t xml:space="preserve">.ч</w:t>
            </w:r>
            <w:r>
              <w:rPr>
                <w:sz w:val="28"/>
                <w:szCs w:val="28"/>
              </w:rPr>
              <w:t xml:space="preserve">/кв. м в 2023 году до                    900,1 </w:t>
            </w:r>
            <w:r>
              <w:rPr>
                <w:sz w:val="28"/>
                <w:szCs w:val="28"/>
              </w:rPr>
              <w:t xml:space="preserve">кВт.ч</w:t>
            </w:r>
            <w:r>
              <w:rPr>
                <w:sz w:val="28"/>
                <w:szCs w:val="28"/>
              </w:rPr>
              <w:t xml:space="preserve">/кв. м в 2028 году; </w:t>
            </w:r>
          </w:p>
          <w:p>
            <w:pPr>
              <w:pStyle w:val="ConsPlusNormal"/>
              <w:jc w:val="both"/>
              <w:rPr>
                <w:sz w:val="28"/>
                <w:szCs w:val="28"/>
              </w:rPr>
            </w:pPr>
            <w:r>
              <w:rPr>
                <w:sz w:val="28"/>
                <w:szCs w:val="28"/>
              </w:rPr>
              <w:t xml:space="preserve">снижение удельного расхода природного газа в многоквартирных домах с индивидуальными системами газового отопления (в расчете на 1 кв. м общей площади) с 0,025 тыс. куб. м/кв. м в                 2023 году до 0,023 тыс. куб. м/кв. м </w:t>
            </w:r>
            <w:r>
              <w:rPr>
                <w:sz w:val="28"/>
                <w:szCs w:val="28"/>
              </w:rPr>
              <w:t xml:space="preserve">                         </w:t>
            </w:r>
            <w:r>
              <w:rPr>
                <w:sz w:val="28"/>
                <w:szCs w:val="28"/>
              </w:rPr>
              <w:t xml:space="preserve">в 2028 году;</w:t>
            </w:r>
          </w:p>
          <w:p>
            <w:pPr>
              <w:pStyle w:val="ConsPlusNormal"/>
              <w:jc w:val="both"/>
              <w:rPr>
                <w:sz w:val="28"/>
                <w:szCs w:val="28"/>
              </w:rPr>
            </w:pPr>
            <w:r>
              <w:rPr>
                <w:sz w:val="28"/>
                <w:szCs w:val="28"/>
              </w:rPr>
              <w:t xml:space="preserve">сокращение удельного расхода природного газа в многоквартирных домах с иными системами теплоснабжения (в расчете на               1 жителя) с 320,5 куб. </w:t>
            </w:r>
            <w:r>
              <w:rPr>
                <w:sz w:val="28"/>
                <w:szCs w:val="28"/>
              </w:rPr>
              <w:t xml:space="preserve">м</w:t>
            </w:r>
            <w:r>
              <w:rPr>
                <w:sz w:val="28"/>
                <w:szCs w:val="28"/>
              </w:rPr>
              <w:t xml:space="preserve">/чел. в 2023 году до 320,1 тыс. куб. м/чел. в 2028 году;</w:t>
            </w:r>
          </w:p>
          <w:p>
            <w:pPr>
              <w:pStyle w:val="ConsPlusNormal"/>
              <w:jc w:val="both"/>
              <w:rPr>
                <w:sz w:val="28"/>
                <w:szCs w:val="28"/>
              </w:rPr>
            </w:pPr>
            <w:r>
              <w:rPr>
                <w:sz w:val="28"/>
                <w:szCs w:val="28"/>
              </w:rPr>
              <w:t xml:space="preserve">уменьшение удельного суммарного расхода энергетических ресурсов в многоквартирных домах с 0,033 </w:t>
            </w:r>
            <w:r>
              <w:rPr>
                <w:sz w:val="28"/>
                <w:szCs w:val="28"/>
              </w:rPr>
              <w:t xml:space="preserve">т.у.т</w:t>
            </w:r>
            <w:r>
              <w:rPr>
                <w:sz w:val="28"/>
                <w:szCs w:val="28"/>
              </w:rPr>
              <w:t xml:space="preserve">./кв. м в 2023 году до 0,030 </w:t>
            </w:r>
            <w:r>
              <w:rPr>
                <w:sz w:val="28"/>
                <w:szCs w:val="28"/>
              </w:rPr>
              <w:t xml:space="preserve">т.у.т</w:t>
            </w:r>
            <w:r>
              <w:rPr>
                <w:sz w:val="28"/>
                <w:szCs w:val="28"/>
              </w:rPr>
              <w:t xml:space="preserve">./кв. м в 2028 году;</w:t>
            </w:r>
          </w:p>
          <w:p>
            <w:pPr>
              <w:pStyle w:val="ConsPlusNormal"/>
              <w:jc w:val="both"/>
              <w:rPr>
                <w:sz w:val="28"/>
                <w:szCs w:val="28"/>
              </w:rPr>
            </w:pPr>
            <w:r>
              <w:rPr>
                <w:sz w:val="28"/>
                <w:szCs w:val="28"/>
              </w:rPr>
              <w:t xml:space="preserve">снижение удельного расхода топлива на выработку тепловой энергии на котельных с 162,5 </w:t>
            </w:r>
            <w:r>
              <w:rPr>
                <w:sz w:val="28"/>
                <w:szCs w:val="28"/>
              </w:rPr>
              <w:t xml:space="preserve">т.у.т</w:t>
            </w:r>
            <w:r>
              <w:rPr>
                <w:sz w:val="28"/>
                <w:szCs w:val="28"/>
              </w:rPr>
              <w:t xml:space="preserve">./Гкал в 2023 году до                            160,0 </w:t>
            </w:r>
            <w:r>
              <w:rPr>
                <w:sz w:val="28"/>
                <w:szCs w:val="28"/>
              </w:rPr>
              <w:t xml:space="preserve">т.у.т</w:t>
            </w:r>
            <w:r>
              <w:rPr>
                <w:sz w:val="28"/>
                <w:szCs w:val="28"/>
              </w:rPr>
              <w:t xml:space="preserve">./Гкал в 2028 году;</w:t>
            </w:r>
          </w:p>
          <w:p>
            <w:pPr>
              <w:pStyle w:val="ConsPlusNormal"/>
              <w:jc w:val="both"/>
              <w:rPr>
                <w:sz w:val="28"/>
                <w:szCs w:val="28"/>
              </w:rPr>
            </w:pPr>
            <w:r>
              <w:rPr>
                <w:sz w:val="28"/>
                <w:szCs w:val="28"/>
              </w:rPr>
              <w:t xml:space="preserve">сокращение удельного расхода электрической энергии, используемой при </w:t>
            </w:r>
            <w:r>
              <w:rPr>
                <w:sz w:val="28"/>
                <w:szCs w:val="28"/>
              </w:rPr>
              <w:t xml:space="preserve">передаче тепловой энергии в системах теплоснабжения, с 18,5 к</w:t>
            </w:r>
            <w:r>
              <w:rPr>
                <w:sz w:val="28"/>
                <w:szCs w:val="28"/>
              </w:rPr>
              <w:t xml:space="preserve">Втч/Гк</w:t>
            </w:r>
            <w:r>
              <w:rPr>
                <w:sz w:val="28"/>
                <w:szCs w:val="28"/>
              </w:rPr>
              <w:t xml:space="preserve">ал в                       2023 году до 18,0 кВтч/Гкал в 2028 году;</w:t>
            </w:r>
          </w:p>
          <w:p>
            <w:pPr>
              <w:pStyle w:val="ConsPlusNormal"/>
              <w:jc w:val="both"/>
              <w:rPr>
                <w:sz w:val="28"/>
                <w:szCs w:val="28"/>
              </w:rPr>
            </w:pPr>
            <w:r>
              <w:rPr>
                <w:sz w:val="28"/>
                <w:szCs w:val="28"/>
              </w:rPr>
              <w:t xml:space="preserve">снижение доли потерь тепловой энергии при ее передаче в общем объеме переданной тепловой энергии с 9,5 процента в 2023 году до 8,0 процента в 2028 году;</w:t>
            </w:r>
          </w:p>
          <w:p>
            <w:pPr>
              <w:pStyle w:val="ConsPlusNormal"/>
              <w:jc w:val="both"/>
              <w:rPr>
                <w:sz w:val="28"/>
                <w:szCs w:val="28"/>
              </w:rPr>
            </w:pPr>
            <w:r>
              <w:rPr>
                <w:sz w:val="28"/>
                <w:szCs w:val="28"/>
              </w:rPr>
              <w:t xml:space="preserve">снижение доли потерь воды при ее передаче в общем объеме переданной воды с                      </w:t>
            </w:r>
            <w:r>
              <w:rPr>
                <w:sz w:val="28"/>
                <w:szCs w:val="28"/>
              </w:rPr>
              <w:t xml:space="preserve">21</w:t>
            </w:r>
            <w:r>
              <w:rPr>
                <w:sz w:val="28"/>
                <w:szCs w:val="28"/>
              </w:rPr>
              <w:t xml:space="preserve">,</w:t>
            </w:r>
            <w:r>
              <w:rPr>
                <w:sz w:val="28"/>
                <w:szCs w:val="28"/>
              </w:rPr>
              <w:t xml:space="preserve">03</w:t>
            </w:r>
            <w:r>
              <w:rPr>
                <w:sz w:val="28"/>
                <w:szCs w:val="28"/>
              </w:rPr>
              <w:t xml:space="preserve"> процента в 2023 году до                            </w:t>
            </w:r>
            <w:r>
              <w:rPr>
                <w:sz w:val="28"/>
                <w:szCs w:val="28"/>
              </w:rPr>
              <w:t xml:space="preserve">20</w:t>
            </w:r>
            <w:r>
              <w:rPr>
                <w:sz w:val="28"/>
                <w:szCs w:val="28"/>
              </w:rPr>
              <w:t xml:space="preserve">,7</w:t>
            </w:r>
            <w:r>
              <w:rPr>
                <w:sz w:val="28"/>
                <w:szCs w:val="28"/>
              </w:rPr>
              <w:t xml:space="preserve">0</w:t>
            </w:r>
            <w:r>
              <w:rPr>
                <w:sz w:val="28"/>
                <w:szCs w:val="28"/>
              </w:rPr>
              <w:t xml:space="preserve"> процента в 2028 году;</w:t>
            </w:r>
          </w:p>
          <w:p>
            <w:pPr>
              <w:pStyle w:val="ConsPlusNormal"/>
              <w:jc w:val="both"/>
              <w:rPr>
                <w:sz w:val="28"/>
                <w:szCs w:val="28"/>
              </w:rPr>
            </w:pPr>
            <w:r>
              <w:rPr>
                <w:sz w:val="28"/>
                <w:szCs w:val="28"/>
              </w:rPr>
              <w:t xml:space="preserve">уменьшение удельного расхода </w:t>
            </w:r>
            <w:r>
              <w:rPr>
                <w:sz w:val="28"/>
                <w:szCs w:val="28"/>
              </w:rPr>
              <w:t xml:space="preserve">электрической энергии, используемой для передачи (транспортировки) воды в системах водоснабжения (на 1 куб. м)</w:t>
            </w:r>
            <w:r>
              <w:rPr>
                <w:sz w:val="28"/>
                <w:szCs w:val="28"/>
              </w:rPr>
              <w:t xml:space="preserve">, </w:t>
            </w:r>
            <w:r>
              <w:rPr>
                <w:sz w:val="28"/>
                <w:szCs w:val="28"/>
              </w:rPr>
              <w:t xml:space="preserve">                      </w:t>
            </w:r>
            <w:r>
              <w:rPr>
                <w:sz w:val="28"/>
                <w:szCs w:val="28"/>
              </w:rPr>
              <w:t xml:space="preserve">с 3,37</w:t>
            </w:r>
            <w:r>
              <w:rPr>
                <w:sz w:val="28"/>
                <w:szCs w:val="28"/>
              </w:rPr>
              <w:t xml:space="preserve"> кВтч/куб. м в 2023 году </w:t>
            </w:r>
            <w:r>
              <w:rPr>
                <w:sz w:val="28"/>
                <w:szCs w:val="28"/>
              </w:rPr>
              <w:t xml:space="preserve">                             </w:t>
            </w:r>
            <w:r>
              <w:rPr>
                <w:sz w:val="28"/>
                <w:szCs w:val="28"/>
              </w:rPr>
              <w:t xml:space="preserve">до </w:t>
            </w:r>
            <w:r>
              <w:rPr>
                <w:sz w:val="28"/>
                <w:szCs w:val="28"/>
              </w:rPr>
              <w:t xml:space="preserve">3,35</w:t>
            </w:r>
            <w:r>
              <w:rPr>
                <w:sz w:val="28"/>
                <w:szCs w:val="28"/>
              </w:rPr>
              <w:t xml:space="preserve"> </w:t>
            </w:r>
            <w:r>
              <w:rPr>
                <w:sz w:val="28"/>
                <w:szCs w:val="28"/>
              </w:rPr>
              <w:t xml:space="preserve">кВт</w:t>
            </w:r>
            <w:r>
              <w:rPr>
                <w:sz w:val="28"/>
                <w:szCs w:val="28"/>
              </w:rPr>
              <w:t xml:space="preserve">.ч</w:t>
            </w:r>
            <w:r>
              <w:rPr>
                <w:sz w:val="28"/>
                <w:szCs w:val="28"/>
              </w:rPr>
              <w:t xml:space="preserve">/куб. м в 2028 году;</w:t>
            </w:r>
          </w:p>
          <w:p>
            <w:pPr>
              <w:pStyle w:val="ConsPlusNormal"/>
              <w:jc w:val="both"/>
              <w:rPr>
                <w:sz w:val="28"/>
                <w:szCs w:val="28"/>
              </w:rPr>
            </w:pPr>
            <w:r>
              <w:rPr>
                <w:sz w:val="28"/>
                <w:szCs w:val="28"/>
              </w:rPr>
              <w:t xml:space="preserve">с</w:t>
            </w:r>
            <w:r>
              <w:rPr>
                <w:sz w:val="28"/>
                <w:szCs w:val="28"/>
              </w:rPr>
              <w:t xml:space="preserve">охранение</w:t>
            </w:r>
            <w:r>
              <w:rPr>
                <w:sz w:val="28"/>
                <w:szCs w:val="28"/>
              </w:rPr>
              <w:t xml:space="preserve"> уровня</w:t>
            </w:r>
            <w:r>
              <w:rPr>
                <w:sz w:val="28"/>
                <w:szCs w:val="28"/>
              </w:rPr>
              <w:t xml:space="preserve"> удельного расхода электрической энергии, используемой в системах водоотведения (на 1 куб. м), с 0,659</w:t>
            </w:r>
            <w:r>
              <w:rPr>
                <w:sz w:val="28"/>
                <w:szCs w:val="28"/>
              </w:rPr>
              <w:t xml:space="preserve"> </w:t>
            </w:r>
            <w:r>
              <w:rPr>
                <w:sz w:val="28"/>
                <w:szCs w:val="28"/>
              </w:rPr>
              <w:t xml:space="preserve">кВт</w:t>
            </w:r>
            <w:r>
              <w:rPr>
                <w:sz w:val="28"/>
                <w:szCs w:val="28"/>
              </w:rPr>
              <w:t xml:space="preserve">.ч</w:t>
            </w:r>
            <w:r>
              <w:rPr>
                <w:sz w:val="28"/>
                <w:szCs w:val="28"/>
              </w:rPr>
              <w:t xml:space="preserve">/куб. м в 2023 году до                        0,659 </w:t>
            </w:r>
            <w:r>
              <w:rPr>
                <w:sz w:val="28"/>
                <w:szCs w:val="28"/>
              </w:rPr>
              <w:t xml:space="preserve">кВт.ч</w:t>
            </w:r>
            <w:r>
              <w:rPr>
                <w:sz w:val="28"/>
                <w:szCs w:val="28"/>
              </w:rPr>
              <w:t xml:space="preserve">/куб. м в 2028 году;</w:t>
            </w:r>
          </w:p>
          <w:p>
            <w:pPr>
              <w:spacing w:after="0" w:line="240" w:lineRule="auto"/>
              <w:jc w:val="both"/>
              <w:rPr>
                <w:sz w:val="28"/>
                <w:szCs w:val="28"/>
              </w:rPr>
            </w:pPr>
            <w:r>
              <w:rPr>
                <w:rFonts w:ascii="Times New Roman" w:hAnsi="Times New Roman" w:cs="Times New Roman"/>
                <w:sz w:val="28"/>
                <w:szCs w:val="28"/>
              </w:rPr>
              <w:t xml:space="preserve">сокращение удельного расхода </w:t>
            </w:r>
            <w:r>
              <w:rPr>
                <w:rFonts w:ascii="Times New Roman" w:hAnsi="Times New Roman" w:cs="Times New Roman"/>
                <w:sz w:val="28"/>
                <w:szCs w:val="28"/>
              </w:rPr>
              <w:t xml:space="preserve">электрической энергии в системах </w:t>
            </w:r>
            <w:r>
              <w:rPr>
                <w:rFonts w:ascii="Times New Roman" w:hAnsi="Times New Roman" w:cs="Times New Roman"/>
                <w:sz w:val="28"/>
                <w:szCs w:val="28"/>
              </w:rPr>
              <w:t xml:space="preserve">             </w:t>
            </w:r>
            <w:r>
              <w:rPr>
                <w:rFonts w:ascii="Times New Roman" w:hAnsi="Times New Roman" w:cs="Times New Roman"/>
                <w:sz w:val="28"/>
                <w:szCs w:val="28"/>
              </w:rPr>
              <w:t xml:space="preserve">уличного освещения (на 1 кв. м освещаемой площади с уровнем освещенности, соответствующим ус</w:t>
            </w:r>
            <w:r>
              <w:rPr>
                <w:rFonts w:ascii="Times New Roman" w:hAnsi="Times New Roman" w:cs="Times New Roman"/>
                <w:sz w:val="28"/>
                <w:szCs w:val="28"/>
              </w:rPr>
              <w:t xml:space="preserve">тановленным нормативам)  </w:t>
            </w:r>
            <w:r>
              <w:rPr>
                <w:rFonts w:ascii="Times New Roman" w:hAnsi="Times New Roman" w:cs="Times New Roman"/>
                <w:sz w:val="28"/>
                <w:szCs w:val="28"/>
              </w:rPr>
              <w:t xml:space="preserve">с 0,71 </w:t>
            </w:r>
            <w:r>
              <w:rPr>
                <w:rFonts w:ascii="Times New Roman" w:hAnsi="Times New Roman" w:cs="Times New Roman"/>
                <w:sz w:val="28"/>
                <w:szCs w:val="28"/>
              </w:rPr>
              <w:t xml:space="preserve">кВт</w:t>
            </w:r>
            <w:r>
              <w:rPr>
                <w:rFonts w:ascii="Times New Roman" w:hAnsi="Times New Roman" w:cs="Times New Roman"/>
                <w:sz w:val="28"/>
                <w:szCs w:val="28"/>
              </w:rPr>
              <w:t xml:space="preserve">.ч</w:t>
            </w:r>
            <w:r>
              <w:rPr>
                <w:rFonts w:ascii="Times New Roman" w:hAnsi="Times New Roman" w:cs="Times New Roman"/>
                <w:sz w:val="28"/>
                <w:szCs w:val="28"/>
              </w:rPr>
              <w:t xml:space="preserve">/кв. м в 2023 году до 0,68 </w:t>
            </w:r>
            <w:r>
              <w:rPr>
                <w:rFonts w:ascii="Times New Roman" w:hAnsi="Times New Roman" w:cs="Times New Roman"/>
                <w:sz w:val="28"/>
                <w:szCs w:val="28"/>
              </w:rPr>
              <w:t xml:space="preserve">кВт.ч</w:t>
            </w:r>
            <w:r>
              <w:rPr>
                <w:rFonts w:ascii="Times New Roman" w:hAnsi="Times New Roman" w:cs="Times New Roman"/>
                <w:sz w:val="28"/>
                <w:szCs w:val="28"/>
              </w:rPr>
              <w:t xml:space="preserve">/кв. м в 2028 году.</w:t>
            </w:r>
          </w:p>
        </w:tc>
      </w:tr>
    </w:tbl>
    <w:p>
      <w:pPr>
        <w:pStyle w:val="ConsPlusTitle"/>
        <w:jc w:val="center"/>
        <w:rPr>
          <w:b w:val="0"/>
          <w:sz w:val="28"/>
          <w:szCs w:val="28"/>
        </w:rPr>
      </w:pPr>
      <w:r>
        <w:rPr>
          <w:rFonts w:ascii="Times New Roman" w:hAnsi="Times New Roman"/>
          <w:b w:val="0"/>
          <w:sz w:val="28"/>
          <w:szCs w:val="28"/>
        </w:rPr>
        <w:t xml:space="preserve">1. Общая характеристика текущего состояния сферы реализации</w:t>
      </w:r>
    </w:p>
    <w:p>
      <w:pPr>
        <w:pStyle w:val="ConsPlusTitle"/>
        <w:jc w:val="center"/>
        <w:rPr>
          <w:b w:val="0"/>
          <w:sz w:val="28"/>
          <w:szCs w:val="28"/>
        </w:rPr>
      </w:pPr>
      <w:r>
        <w:rPr>
          <w:rFonts w:ascii="Times New Roman" w:hAnsi="Times New Roman"/>
          <w:b w:val="0"/>
          <w:sz w:val="28"/>
          <w:szCs w:val="28"/>
        </w:rPr>
        <w:t xml:space="preserve">Программы и прогноз ее развития</w:t>
      </w:r>
    </w:p>
    <w:p>
      <w:pPr>
        <w:pStyle w:val="ConsPlusNormal"/>
        <w:jc w:val="both"/>
        <w:rPr>
          <w:sz w:val="28"/>
          <w:szCs w:val="28"/>
        </w:rPr>
      </w:pPr>
    </w:p>
    <w:p>
      <w:pPr>
        <w:pStyle w:val="ConsPlusNormal"/>
        <w:ind w:firstLine="539"/>
        <w:jc w:val="both"/>
        <w:rPr>
          <w:sz w:val="28"/>
          <w:szCs w:val="28"/>
        </w:rPr>
      </w:pPr>
      <w:r>
        <w:rPr>
          <w:color w:val="000000"/>
          <w:sz w:val="28"/>
          <w:szCs w:val="28"/>
        </w:rPr>
        <w:t xml:space="preserve">Программа разработана на основании Федерального </w:t>
      </w:r>
      <w:hyperlink r:id="rId19" w:history="1">
        <w:r>
          <w:rPr>
            <w:rStyle w:val="ListLabel1"/>
            <w:color w:val="000000"/>
            <w:sz w:val="28"/>
            <w:szCs w:val="28"/>
          </w:rPr>
          <w:t xml:space="preserve">закона</w:t>
        </w:r>
      </w:hyperlink>
      <w:r>
        <w:rPr>
          <w:color w:val="000000"/>
          <w:sz w:val="28"/>
          <w:szCs w:val="28"/>
        </w:rPr>
        <w:t xml:space="preserve"> от 23 ноября 2009 г. №</w:t>
      </w:r>
      <w:r>
        <w:rPr>
          <w:color w:val="000000"/>
          <w:sz w:val="28"/>
          <w:szCs w:val="28"/>
        </w:rPr>
        <w:t xml:space="preserve"> 261-ФЗ «</w:t>
      </w:r>
      <w:r>
        <w:rPr>
          <w:color w:val="000000"/>
          <w:sz w:val="28"/>
          <w:szCs w:val="28"/>
        </w:rPr>
        <w:t xml:space="preserve">Об энергосбережении и о повышении энергетической эффективности и о внесении изменений в отдельные законодате</w:t>
      </w:r>
      <w:r>
        <w:rPr>
          <w:color w:val="000000"/>
          <w:sz w:val="28"/>
          <w:szCs w:val="28"/>
        </w:rPr>
        <w:t xml:space="preserve">льные акты Российской Федерации»</w:t>
      </w:r>
      <w:r>
        <w:rPr>
          <w:color w:val="000000"/>
          <w:sz w:val="28"/>
          <w:szCs w:val="28"/>
        </w:rPr>
        <w:t xml:space="preserve">, </w:t>
      </w:r>
      <w:hyperlink r:id="rId20" w:history="1">
        <w:r>
          <w:rPr>
            <w:rStyle w:val="ListLabel1"/>
            <w:color w:val="000000"/>
            <w:sz w:val="28"/>
            <w:szCs w:val="28"/>
          </w:rPr>
          <w:t xml:space="preserve">постановления</w:t>
        </w:r>
      </w:hyperlink>
      <w:r>
        <w:rPr>
          <w:color w:val="000000"/>
          <w:sz w:val="28"/>
          <w:szCs w:val="28"/>
        </w:rPr>
        <w:t xml:space="preserve"> Правительства Российской Ф</w:t>
      </w:r>
      <w:r>
        <w:rPr>
          <w:color w:val="000000"/>
          <w:sz w:val="28"/>
          <w:szCs w:val="28"/>
        </w:rPr>
        <w:t xml:space="preserve">едерации от 11 февраля 2021</w:t>
      </w:r>
      <w:r>
        <w:rPr>
          <w:color w:val="000000"/>
          <w:sz w:val="28"/>
          <w:szCs w:val="28"/>
        </w:rPr>
        <w:t xml:space="preserve"> г. №</w:t>
      </w:r>
      <w:r>
        <w:rPr>
          <w:color w:val="000000"/>
          <w:sz w:val="28"/>
          <w:szCs w:val="28"/>
        </w:rPr>
        <w:t xml:space="preserve"> 161</w:t>
      </w:r>
      <w:r>
        <w:rPr>
          <w:color w:val="000000"/>
          <w:sz w:val="28"/>
          <w:szCs w:val="28"/>
        </w:rPr>
        <w:t xml:space="preserve"> «</w:t>
      </w:r>
      <w:r>
        <w:rPr>
          <w:color w:val="000000"/>
          <w:sz w:val="28"/>
          <w:szCs w:val="28"/>
        </w:rPr>
        <w:t xml:space="preserve">О</w:t>
      </w:r>
      <w:r>
        <w:rPr>
          <w:color w:val="000000"/>
          <w:sz w:val="28"/>
          <w:szCs w:val="28"/>
        </w:rPr>
        <w:t xml:space="preserve">б утверждении требований</w:t>
      </w:r>
      <w:r>
        <w:rPr>
          <w:color w:val="000000"/>
          <w:sz w:val="28"/>
          <w:szCs w:val="28"/>
        </w:rPr>
        <w:t xml:space="preserve"> к региональным и муниципальным программам в области энергосбережения и повышен</w:t>
      </w:r>
      <w:r>
        <w:rPr>
          <w:color w:val="000000"/>
          <w:sz w:val="28"/>
          <w:szCs w:val="28"/>
        </w:rPr>
        <w:t xml:space="preserve">ия энергетической эффективности</w:t>
      </w:r>
      <w:r>
        <w:rPr>
          <w:color w:val="000000"/>
          <w:sz w:val="28"/>
          <w:szCs w:val="28"/>
        </w:rPr>
        <w:t xml:space="preserve"> и о признании утратившими силу некоторых</w:t>
      </w:r>
      <w:r>
        <w:rPr>
          <w:color w:val="000000"/>
          <w:sz w:val="28"/>
          <w:szCs w:val="28"/>
        </w:rPr>
        <w:t xml:space="preserve"> </w:t>
      </w:r>
      <w:r>
        <w:rPr>
          <w:color w:val="000000"/>
          <w:sz w:val="28"/>
          <w:szCs w:val="28"/>
        </w:rPr>
        <w:t xml:space="preserve">актов Правительства Российской Федерации и отдельных положений некоторых актов Правительства Российской Федерации</w:t>
      </w:r>
      <w:r>
        <w:rPr>
          <w:color w:val="000000"/>
          <w:sz w:val="28"/>
          <w:szCs w:val="28"/>
        </w:rPr>
        <w:t xml:space="preserve">»</w:t>
      </w:r>
      <w:r>
        <w:rPr>
          <w:color w:val="000000"/>
          <w:sz w:val="28"/>
          <w:szCs w:val="28"/>
        </w:rPr>
        <w:t xml:space="preserve">, </w:t>
      </w:r>
      <w:hyperlink r:id="rId21" w:history="1">
        <w:r>
          <w:rPr>
            <w:rStyle w:val="ListLabel1"/>
            <w:color w:val="000000"/>
            <w:sz w:val="28"/>
            <w:szCs w:val="28"/>
          </w:rPr>
          <w:t xml:space="preserve">приказа</w:t>
        </w:r>
      </w:hyperlink>
      <w:r>
        <w:rPr>
          <w:color w:val="000000"/>
          <w:sz w:val="28"/>
          <w:szCs w:val="28"/>
        </w:rPr>
        <w:t xml:space="preserve"> Министерства экономического развития Российской Ф</w:t>
      </w:r>
      <w:r>
        <w:rPr>
          <w:color w:val="000000"/>
          <w:sz w:val="28"/>
          <w:szCs w:val="28"/>
        </w:rPr>
        <w:t xml:space="preserve">едерации </w:t>
      </w:r>
      <w:r>
        <w:rPr>
          <w:color w:val="000000"/>
          <w:sz w:val="28"/>
          <w:szCs w:val="28"/>
        </w:rPr>
        <w:t xml:space="preserve">                               </w:t>
      </w:r>
      <w:r>
        <w:rPr>
          <w:color w:val="000000"/>
          <w:sz w:val="28"/>
          <w:szCs w:val="28"/>
        </w:rPr>
        <w:t xml:space="preserve">от 17 февраля </w:t>
      </w:r>
      <w:r>
        <w:rPr>
          <w:color w:val="000000"/>
          <w:sz w:val="28"/>
          <w:szCs w:val="28"/>
        </w:rPr>
        <w:t xml:space="preserve">2010 г. №</w:t>
      </w:r>
      <w:r>
        <w:rPr>
          <w:color w:val="000000"/>
          <w:sz w:val="28"/>
          <w:szCs w:val="28"/>
        </w:rPr>
        <w:t xml:space="preserve"> 61 «</w:t>
      </w:r>
      <w:r>
        <w:rPr>
          <w:color w:val="000000"/>
          <w:sz w:val="28"/>
          <w:szCs w:val="28"/>
        </w:rPr>
        <w:t xml:space="preserve">Об утверждении примерного перечня мероприятий в области энергосбережения и повышения энергетической </w:t>
      </w:r>
      <w:r>
        <w:rPr>
          <w:color w:val="000000"/>
          <w:sz w:val="28"/>
          <w:szCs w:val="28"/>
        </w:rPr>
        <w:t xml:space="preserve">эффективности, который может быть использован в целях разработки региональных, муниципальных программ в области энергосбережения и повышен</w:t>
      </w:r>
      <w:r>
        <w:rPr>
          <w:color w:val="000000"/>
          <w:sz w:val="28"/>
          <w:szCs w:val="28"/>
        </w:rPr>
        <w:t xml:space="preserve">ия энергетической эффективности»</w:t>
      </w:r>
      <w:r>
        <w:rPr>
          <w:color w:val="000000"/>
          <w:sz w:val="28"/>
          <w:szCs w:val="28"/>
        </w:rPr>
        <w:t xml:space="preserve">.</w:t>
      </w:r>
      <w:bookmarkStart w:id="1" w:name="_GoBack"/>
      <w:bookmarkEnd w:id="1"/>
    </w:p>
    <w:p>
      <w:pPr>
        <w:pStyle w:val="ConsPlusNormal"/>
        <w:ind w:firstLine="539"/>
        <w:jc w:val="both"/>
        <w:rPr>
          <w:sz w:val="28"/>
          <w:szCs w:val="28"/>
        </w:rPr>
      </w:pPr>
      <w:r>
        <w:rPr>
          <w:color w:val="000000"/>
          <w:sz w:val="28"/>
          <w:szCs w:val="28"/>
        </w:rPr>
        <w:t xml:space="preserve">Программа является продолжением ранее действующих программ в сфере энергосбережения и станет основным документом для внедрения и стимуляции энергосберегающей политики при одновременном решении проблемы рационального использования топливно-энергетических ресурсов на территории города Ставрополя.</w:t>
      </w:r>
    </w:p>
    <w:p>
      <w:pPr>
        <w:pStyle w:val="ConsPlusNormal"/>
        <w:ind w:firstLine="539"/>
        <w:jc w:val="both"/>
        <w:rPr>
          <w:sz w:val="28"/>
          <w:szCs w:val="28"/>
        </w:rPr>
      </w:pPr>
      <w:r>
        <w:rPr>
          <w:color w:val="000000"/>
          <w:sz w:val="28"/>
          <w:szCs w:val="28"/>
        </w:rPr>
        <w:t xml:space="preserve">Город Ставрополь является административным центром Ставропольского края, на территории которого расположены три административных района: Ленинский, Октябрьский, Промышлен</w:t>
      </w:r>
      <w:r>
        <w:rPr>
          <w:color w:val="000000"/>
          <w:sz w:val="28"/>
          <w:szCs w:val="28"/>
        </w:rPr>
        <w:t xml:space="preserve">ный. По состояни</w:t>
      </w:r>
      <w:r>
        <w:rPr>
          <w:color w:val="000000"/>
          <w:sz w:val="28"/>
          <w:szCs w:val="28"/>
        </w:rPr>
        <w:t xml:space="preserve">ю на 01 января 2021</w:t>
      </w:r>
      <w:r>
        <w:rPr>
          <w:color w:val="000000"/>
          <w:sz w:val="28"/>
          <w:szCs w:val="28"/>
        </w:rPr>
        <w:t xml:space="preserve"> года численность населения</w:t>
      </w:r>
      <w:r>
        <w:rPr>
          <w:color w:val="000000"/>
          <w:sz w:val="28"/>
          <w:szCs w:val="28"/>
        </w:rPr>
        <w:t xml:space="preserve"> города Ставрополя составила 450,7</w:t>
      </w:r>
      <w:r>
        <w:rPr>
          <w:color w:val="000000"/>
          <w:sz w:val="28"/>
          <w:szCs w:val="28"/>
        </w:rPr>
        <w:t xml:space="preserve"> тыс. человек, что составляет 15 процентов от общей численности населения Ставропольского края.</w:t>
      </w:r>
    </w:p>
    <w:p>
      <w:pPr>
        <w:pStyle w:val="ConsPlusNormal"/>
        <w:ind w:firstLine="540"/>
        <w:jc w:val="both"/>
        <w:rPr>
          <w:sz w:val="28"/>
          <w:szCs w:val="28"/>
        </w:rPr>
      </w:pPr>
      <w:r>
        <w:rPr>
          <w:color w:val="000000"/>
          <w:sz w:val="28"/>
          <w:szCs w:val="28"/>
        </w:rPr>
        <w:t xml:space="preserve">Жилищно-коммунальное хозяйство города Ставрополя представляет собой сложную многофункциональную систему. Муниципальное у</w:t>
      </w:r>
      <w:r>
        <w:rPr>
          <w:color w:val="000000"/>
          <w:sz w:val="28"/>
          <w:szCs w:val="28"/>
        </w:rPr>
        <w:t xml:space="preserve">нитарное предприятие «ВОДОКАНАЛ»</w:t>
      </w:r>
      <w:r>
        <w:rPr>
          <w:color w:val="000000"/>
          <w:sz w:val="28"/>
          <w:szCs w:val="28"/>
        </w:rPr>
        <w:t xml:space="preserve"> города Ст</w:t>
      </w:r>
      <w:r>
        <w:rPr>
          <w:color w:val="000000"/>
          <w:sz w:val="28"/>
          <w:szCs w:val="28"/>
        </w:rPr>
        <w:t xml:space="preserve">аврополя, акционерное общество «Теплосеть», акционерное общество «</w:t>
      </w:r>
      <w:r>
        <w:rPr>
          <w:color w:val="000000"/>
          <w:sz w:val="28"/>
          <w:szCs w:val="28"/>
        </w:rPr>
        <w:t xml:space="preserve">Горэлектросеть</w:t>
      </w:r>
      <w:r>
        <w:rPr>
          <w:color w:val="000000"/>
          <w:sz w:val="28"/>
          <w:szCs w:val="28"/>
        </w:rPr>
        <w:t xml:space="preserve">»</w:t>
      </w:r>
      <w:r>
        <w:rPr>
          <w:color w:val="000000"/>
          <w:sz w:val="28"/>
          <w:szCs w:val="28"/>
        </w:rPr>
        <w:t xml:space="preserve"> обеспечивают население города Ставрополя водой, теплом, электроэнергией, осуществляют содержание и ремонт объектов жилищно-коммунального хозяйства, обслуживают городскую инженерную инфраструктуру и объекты коммунального назначения, участвуют в реализации мероприятий по энергосбережению и повышению энергетической эффективности.</w:t>
      </w:r>
    </w:p>
    <w:p>
      <w:pPr>
        <w:pStyle w:val="ConsPlusNormal"/>
        <w:ind w:firstLine="540"/>
        <w:jc w:val="both"/>
        <w:rPr>
          <w:sz w:val="28"/>
          <w:szCs w:val="28"/>
        </w:rPr>
      </w:pPr>
      <w:r>
        <w:rPr>
          <w:sz w:val="28"/>
          <w:szCs w:val="28"/>
        </w:rPr>
        <w:t xml:space="preserve">Комплексное решение задач, связанных с эффективным использованием топливно-энергетических ресурсов, является одним из приоритетных направлений развития хозяйственного комплекса города Ставрополя. Особенно актуальна задача энергосбережения в социальной и жилищно-коммунальной сферах города Ставрополя.</w:t>
      </w:r>
    </w:p>
    <w:p>
      <w:pPr>
        <w:pStyle w:val="ConsPlusNormal"/>
        <w:ind w:firstLine="540"/>
        <w:jc w:val="both"/>
        <w:rPr>
          <w:sz w:val="28"/>
          <w:szCs w:val="28"/>
        </w:rPr>
      </w:pPr>
      <w:r>
        <w:rPr>
          <w:sz w:val="28"/>
          <w:szCs w:val="28"/>
        </w:rPr>
        <w:t xml:space="preserve">Основная масса приобретенных городом Ставрополем энергоресурсов потребляется в зданиях, находящихся в пользовании муниципальных бюджетных учреждений. Значительная часть энергоресурсов используется нерационально по ряду причин (устаревшие технологии, низкое качество энергетического оборудования). Системы отопления во многих объектах социальной сферы не оборудованы аппаратурой, позволяющей осуществлять автоматическое управление параметрами теплоносителя в зависимости от температуры наружного воздуха, что не позволяет осуществлять регулирование потребления тепловой энергии.</w:t>
      </w:r>
    </w:p>
    <w:p>
      <w:pPr>
        <w:pStyle w:val="ConsPlusNormal"/>
        <w:ind w:firstLine="540"/>
        <w:jc w:val="both"/>
        <w:rPr>
          <w:sz w:val="28"/>
          <w:szCs w:val="28"/>
        </w:rPr>
      </w:pPr>
      <w:r>
        <w:rPr>
          <w:sz w:val="28"/>
          <w:szCs w:val="28"/>
        </w:rPr>
        <w:t xml:space="preserve">В системах отопления многих объектов социальной сферы длительное время не производился капитальный ремонт, что приводит к частой аварийности и </w:t>
      </w:r>
      <w:r>
        <w:rPr>
          <w:sz w:val="28"/>
          <w:szCs w:val="28"/>
        </w:rPr>
        <w:t xml:space="preserve">зашлакованности</w:t>
      </w:r>
      <w:r>
        <w:rPr>
          <w:sz w:val="28"/>
          <w:szCs w:val="28"/>
        </w:rPr>
        <w:t xml:space="preserve"> трубопроводов и радиаторов. Указанные факторы снижают эффективность работы систем отопления.</w:t>
      </w:r>
    </w:p>
    <w:p>
      <w:pPr>
        <w:pStyle w:val="ConsPlusNormal"/>
        <w:ind w:firstLine="540"/>
        <w:jc w:val="both"/>
        <w:rPr>
          <w:sz w:val="28"/>
          <w:szCs w:val="28"/>
        </w:rPr>
      </w:pPr>
      <w:r>
        <w:rPr>
          <w:sz w:val="28"/>
          <w:szCs w:val="28"/>
        </w:rPr>
        <w:t xml:space="preserve">Система горячего водоснабжения в объектах социальной сферы независимая, не оборудованная системой автоматического регулирования, что приводит к превышению расходов тепловой энергии на горячее водоснабжение над нормативными значениями.</w:t>
      </w:r>
    </w:p>
    <w:p>
      <w:pPr>
        <w:pStyle w:val="ConsPlusNormal"/>
        <w:ind w:firstLine="540"/>
        <w:jc w:val="both"/>
        <w:rPr>
          <w:sz w:val="28"/>
          <w:szCs w:val="28"/>
        </w:rPr>
      </w:pPr>
      <w:r>
        <w:rPr>
          <w:sz w:val="28"/>
          <w:szCs w:val="28"/>
        </w:rPr>
        <w:t xml:space="preserve">В системе водопотребления практически не применяется современное </w:t>
      </w:r>
      <w:r>
        <w:rPr>
          <w:sz w:val="28"/>
          <w:szCs w:val="28"/>
        </w:rPr>
        <w:t xml:space="preserve">энергоэффективное</w:t>
      </w:r>
      <w:r>
        <w:rPr>
          <w:sz w:val="28"/>
          <w:szCs w:val="28"/>
        </w:rPr>
        <w:t xml:space="preserve"> оборудование. В связи с длительным сроком эксплуатации разводящих трубопроводов случаются аварии, вызывающие непроизводительный перерасход воды.</w:t>
      </w:r>
    </w:p>
    <w:p>
      <w:pPr>
        <w:pStyle w:val="ConsPlusNormal"/>
        <w:ind w:firstLine="540"/>
        <w:jc w:val="both"/>
        <w:rPr>
          <w:sz w:val="28"/>
          <w:szCs w:val="28"/>
        </w:rPr>
      </w:pPr>
      <w:r>
        <w:rPr>
          <w:sz w:val="28"/>
          <w:szCs w:val="28"/>
        </w:rPr>
        <w:t xml:space="preserve">В системе электроснабжения основное электропотребление производится на цели освещения. Постепенный переход на энергосберегающие светильники и лампочки, по мере их выхода из строя, не дает ощутимого энергосберегающего эффекта. Необходим программный подход к массовой замене неэффективных осветительных приборов.</w:t>
      </w:r>
    </w:p>
    <w:p>
      <w:pPr>
        <w:pStyle w:val="ConsPlusNormal"/>
        <w:ind w:firstLine="540"/>
        <w:jc w:val="both"/>
        <w:rPr>
          <w:sz w:val="28"/>
          <w:szCs w:val="28"/>
        </w:rPr>
      </w:pPr>
      <w:r>
        <w:rPr>
          <w:sz w:val="28"/>
          <w:szCs w:val="28"/>
        </w:rPr>
        <w:t xml:space="preserve">За счет средств бюджета города Ставрополя ведется поэтапный капитальный ремонт и реконструкция объектов социальной сферы, в том числе производится утепление фасадов и кровли зданий, частичная замена трубопроводов систем отопления и водоснабжения.</w:t>
      </w:r>
    </w:p>
    <w:p>
      <w:pPr>
        <w:pStyle w:val="ConsPlusNormal"/>
        <w:ind w:firstLine="540"/>
        <w:jc w:val="both"/>
        <w:rPr>
          <w:sz w:val="28"/>
          <w:szCs w:val="28"/>
        </w:rPr>
      </w:pPr>
      <w:r>
        <w:rPr>
          <w:sz w:val="28"/>
          <w:szCs w:val="28"/>
        </w:rPr>
        <w:t xml:space="preserve">Данные мероприятия проводятся </w:t>
      </w:r>
      <w:r>
        <w:rPr>
          <w:sz w:val="28"/>
          <w:szCs w:val="28"/>
        </w:rPr>
        <w:t xml:space="preserve">несистематически</w:t>
      </w:r>
      <w:r>
        <w:rPr>
          <w:sz w:val="28"/>
          <w:szCs w:val="28"/>
        </w:rPr>
        <w:t xml:space="preserve">, поэтому снижение энергопотребления социальных объектов незначительно.</w:t>
      </w:r>
    </w:p>
    <w:p>
      <w:pPr>
        <w:pStyle w:val="ConsPlusNormal"/>
        <w:ind w:firstLine="540"/>
        <w:jc w:val="both"/>
        <w:rPr>
          <w:sz w:val="28"/>
          <w:szCs w:val="28"/>
        </w:rPr>
      </w:pPr>
      <w:r>
        <w:rPr>
          <w:sz w:val="28"/>
          <w:szCs w:val="28"/>
        </w:rPr>
        <w:t xml:space="preserve">Главной причиной высоких издержек на обеспечение энергетических потребностей многоквартирных домов является низкая эффективность использования энергетических ресурсов.</w:t>
      </w:r>
    </w:p>
    <w:p>
      <w:pPr>
        <w:pStyle w:val="ConsPlusNormal"/>
        <w:ind w:firstLine="540"/>
        <w:jc w:val="both"/>
        <w:rPr>
          <w:sz w:val="28"/>
          <w:szCs w:val="28"/>
        </w:rPr>
      </w:pPr>
      <w:r>
        <w:rPr>
          <w:sz w:val="28"/>
          <w:szCs w:val="28"/>
        </w:rPr>
        <w:t xml:space="preserve">Весьма остро стоит проблема избыточной инфильтрации (сквозняков) из-за плохого состояния деревянных оконных и дверных блоков в квартирах </w:t>
      </w:r>
      <w:r>
        <w:rPr>
          <w:sz w:val="28"/>
          <w:szCs w:val="28"/>
        </w:rPr>
        <w:t xml:space="preserve">и</w:t>
      </w:r>
      <w:r>
        <w:rPr>
          <w:sz w:val="28"/>
          <w:szCs w:val="28"/>
        </w:rPr>
        <w:t xml:space="preserve"> особенно в местах общего пользования. Подавляющее количество многоквартирных домов оборудовано системой естественной вентиляции, что часто приводит к избыточному воздухообмену в квартирах нижних этажей и к недостаточному воздухообмену в квартирах верхних этажей.</w:t>
      </w:r>
    </w:p>
    <w:p>
      <w:pPr>
        <w:pStyle w:val="ConsPlusNormal"/>
        <w:ind w:firstLine="540"/>
        <w:jc w:val="both"/>
        <w:rPr>
          <w:sz w:val="28"/>
          <w:szCs w:val="28"/>
        </w:rPr>
      </w:pPr>
      <w:r>
        <w:rPr>
          <w:sz w:val="28"/>
          <w:szCs w:val="28"/>
        </w:rPr>
        <w:t xml:space="preserve">В условиях ограниченности бюджетных средств первостепенное значение имеют учет и </w:t>
      </w:r>
      <w:r>
        <w:rPr>
          <w:sz w:val="28"/>
          <w:szCs w:val="28"/>
        </w:rPr>
        <w:t xml:space="preserve">контроль за</w:t>
      </w:r>
      <w:r>
        <w:rPr>
          <w:sz w:val="28"/>
          <w:szCs w:val="28"/>
        </w:rPr>
        <w:t xml:space="preserve"> расходом энергоресурсов, а также возможность влиять на количество их потребления. Внедрение приборного учета потребления энергоресурсов даст возможность потребителю оплачивать их фактически потребленное количество.</w:t>
      </w:r>
    </w:p>
    <w:p>
      <w:pPr>
        <w:pStyle w:val="ConsPlusNormal"/>
        <w:ind w:firstLine="540"/>
        <w:jc w:val="both"/>
        <w:rPr>
          <w:sz w:val="28"/>
          <w:szCs w:val="28"/>
        </w:rPr>
      </w:pPr>
      <w:r>
        <w:rPr>
          <w:sz w:val="28"/>
          <w:szCs w:val="28"/>
        </w:rPr>
        <w:t xml:space="preserve">Значительная часть электропотребления города Ставрополя приходится на уличное освещение. Внедрение автоматизированных систем контроля и учета электроэнергии (АСКУЭ) в сфере уличного освещения позволит производить более точный и детальный контроль потребленной электроэнергии.</w:t>
      </w:r>
    </w:p>
    <w:p>
      <w:pPr>
        <w:pStyle w:val="ConsPlusNormal"/>
        <w:ind w:firstLine="540"/>
        <w:jc w:val="both"/>
        <w:rPr>
          <w:sz w:val="28"/>
          <w:szCs w:val="28"/>
        </w:rPr>
      </w:pPr>
      <w:r>
        <w:rPr>
          <w:sz w:val="28"/>
          <w:szCs w:val="28"/>
        </w:rPr>
        <w:t xml:space="preserve">Необходим программно-целевой метод в осуществлении комплекса мер по внедрению мероприятий по энергосбережению, который заключается в разработке, принятии и реализации согласованных действий по снижению потерь при производстве, передаче и потреблении энергетических ресурсов на территории города Ставрополя</w:t>
      </w:r>
      <w:r>
        <w:rPr>
          <w:sz w:val="28"/>
          <w:szCs w:val="28"/>
        </w:rPr>
        <w:t xml:space="preserve">.</w:t>
      </w:r>
    </w:p>
    <w:p>
      <w:pPr>
        <w:pStyle w:val="ConsPlusNormal"/>
        <w:ind w:firstLine="540"/>
        <w:jc w:val="both"/>
        <w:rPr>
          <w:sz w:val="28"/>
          <w:szCs w:val="28"/>
        </w:rPr>
      </w:pPr>
      <w:r>
        <w:rPr>
          <w:sz w:val="28"/>
          <w:szCs w:val="28"/>
        </w:rPr>
        <w:t xml:space="preserve">Основные риски реализации Программы:</w:t>
      </w:r>
    </w:p>
    <w:p>
      <w:pPr>
        <w:pStyle w:val="ConsPlusNormal"/>
        <w:ind w:firstLine="540"/>
        <w:jc w:val="both"/>
        <w:rPr>
          <w:sz w:val="28"/>
          <w:szCs w:val="28"/>
        </w:rPr>
      </w:pPr>
      <w:r>
        <w:rPr>
          <w:sz w:val="28"/>
          <w:szCs w:val="28"/>
        </w:rPr>
        <w:t xml:space="preserve">нормативно-правовые риски, связанные с изменением действующего законодательства, регулирующего полномочия органов местного самоуправления в области энергосбережения;</w:t>
      </w:r>
    </w:p>
    <w:p>
      <w:pPr>
        <w:pStyle w:val="ConsPlusNormal"/>
        <w:ind w:firstLine="540"/>
        <w:jc w:val="both"/>
        <w:rPr>
          <w:sz w:val="28"/>
          <w:szCs w:val="28"/>
        </w:rPr>
      </w:pPr>
      <w:r>
        <w:rPr>
          <w:sz w:val="28"/>
          <w:szCs w:val="28"/>
        </w:rPr>
        <w:t xml:space="preserve">организационные риски, связанные с ошибками в управлении реализацией Программы, в том числе ответственным исполнителем или </w:t>
      </w:r>
      <w:r>
        <w:rPr>
          <w:sz w:val="28"/>
          <w:szCs w:val="28"/>
        </w:rPr>
        <w:t xml:space="preserve">отдельными ее соисполнителями, что может привести к невыполнению ряда мероприятий Программы;</w:t>
      </w:r>
    </w:p>
    <w:p>
      <w:pPr>
        <w:pStyle w:val="ConsPlusNormal"/>
        <w:ind w:firstLine="540"/>
        <w:jc w:val="both"/>
        <w:rPr>
          <w:sz w:val="28"/>
          <w:szCs w:val="28"/>
        </w:rPr>
      </w:pPr>
      <w:r>
        <w:rPr>
          <w:sz w:val="28"/>
          <w:szCs w:val="28"/>
        </w:rPr>
        <w:t xml:space="preserve">финансовые риски, которые связаны с финансированием Программы в неполном объеме.</w:t>
      </w:r>
    </w:p>
    <w:p>
      <w:pPr>
        <w:pStyle w:val="ConsPlusNormal"/>
        <w:ind w:firstLine="540"/>
        <w:jc w:val="both"/>
        <w:rPr>
          <w:sz w:val="28"/>
          <w:szCs w:val="28"/>
        </w:rPr>
      </w:pPr>
      <w:r>
        <w:rPr>
          <w:sz w:val="28"/>
          <w:szCs w:val="28"/>
        </w:rPr>
        <w:t xml:space="preserve">Реализация мероприятий Программы позволит:</w:t>
      </w:r>
    </w:p>
    <w:p>
      <w:pPr>
        <w:pStyle w:val="ConsPlusNormal"/>
        <w:ind w:firstLine="540"/>
        <w:jc w:val="both"/>
        <w:rPr>
          <w:sz w:val="28"/>
          <w:szCs w:val="28"/>
        </w:rPr>
      </w:pPr>
      <w:r>
        <w:rPr>
          <w:sz w:val="28"/>
          <w:szCs w:val="28"/>
        </w:rPr>
        <w:t xml:space="preserve">снизить расходы населения на оплату коммунальных услуг;</w:t>
      </w:r>
    </w:p>
    <w:p>
      <w:pPr>
        <w:pStyle w:val="ConsPlusNormal"/>
        <w:ind w:firstLine="540"/>
        <w:jc w:val="both"/>
        <w:rPr>
          <w:sz w:val="28"/>
          <w:szCs w:val="28"/>
        </w:rPr>
      </w:pPr>
      <w:r>
        <w:rPr>
          <w:sz w:val="28"/>
          <w:szCs w:val="28"/>
        </w:rPr>
        <w:t xml:space="preserve">сократить потери энергетических ресурсов при их транспортировке;</w:t>
      </w:r>
    </w:p>
    <w:p>
      <w:pPr>
        <w:pStyle w:val="ConsPlusNormal"/>
        <w:ind w:firstLine="540"/>
        <w:jc w:val="both"/>
        <w:rPr>
          <w:sz w:val="28"/>
          <w:szCs w:val="28"/>
        </w:rPr>
      </w:pPr>
      <w:r>
        <w:rPr>
          <w:sz w:val="28"/>
          <w:szCs w:val="28"/>
        </w:rPr>
        <w:t xml:space="preserve">повысить эффективность использования коммунальных ресурсов в организациях бюджетной сферы и многоквартирных домах, расположенных на территории города Ставрополя;</w:t>
      </w:r>
    </w:p>
    <w:p>
      <w:pPr>
        <w:pStyle w:val="ConsPlusNormal"/>
        <w:ind w:firstLine="540"/>
        <w:jc w:val="both"/>
        <w:rPr>
          <w:sz w:val="28"/>
          <w:szCs w:val="28"/>
        </w:rPr>
      </w:pPr>
      <w:r>
        <w:rPr>
          <w:sz w:val="28"/>
          <w:szCs w:val="28"/>
        </w:rPr>
        <w:t xml:space="preserve">повысить эффективность энергопотребления путем внедрения современных энергосберегающих технологий и оборудования</w:t>
      </w:r>
      <w:r>
        <w:rPr>
          <w:sz w:val="28"/>
          <w:szCs w:val="28"/>
        </w:rPr>
        <w:t xml:space="preserve">.</w:t>
      </w:r>
    </w:p>
    <w:p>
      <w:pPr>
        <w:pStyle w:val="ConsPlusTitle"/>
        <w:jc w:val="center"/>
        <w:rPr>
          <w:rFonts w:ascii="Times New Roman" w:hAnsi="Times New Roman"/>
          <w:b w:val="0"/>
          <w:sz w:val="28"/>
          <w:szCs w:val="28"/>
        </w:rPr>
      </w:pPr>
    </w:p>
    <w:p>
      <w:pPr>
        <w:pStyle w:val="ConsPlusTitle"/>
        <w:jc w:val="center"/>
        <w:rPr>
          <w:b w:val="0"/>
          <w:sz w:val="28"/>
          <w:szCs w:val="28"/>
        </w:rPr>
      </w:pPr>
      <w:r>
        <w:rPr>
          <w:rFonts w:ascii="Times New Roman" w:hAnsi="Times New Roman"/>
          <w:b w:val="0"/>
          <w:sz w:val="28"/>
          <w:szCs w:val="28"/>
        </w:rPr>
        <w:t xml:space="preserve">2. Цель и задачи Программы</w:t>
      </w:r>
    </w:p>
    <w:p>
      <w:pPr>
        <w:pStyle w:val="ConsPlusNormal"/>
        <w:jc w:val="both"/>
        <w:rPr>
          <w:sz w:val="28"/>
          <w:szCs w:val="28"/>
        </w:rPr>
      </w:pPr>
    </w:p>
    <w:p>
      <w:pPr>
        <w:pStyle w:val="ConsPlusNormal"/>
        <w:ind w:firstLine="540"/>
        <w:jc w:val="both"/>
        <w:rPr>
          <w:sz w:val="28"/>
          <w:szCs w:val="28"/>
        </w:rPr>
      </w:pPr>
      <w:r>
        <w:rPr>
          <w:sz w:val="28"/>
          <w:szCs w:val="28"/>
        </w:rPr>
        <w:t xml:space="preserve">Целью Программы является обеспечение эффективного использования топливно-энергетических ресурсов за счет реализации мероприятий по энергосбережению и повышению энергетической эффективности на территории города Ставрополя.</w:t>
      </w:r>
    </w:p>
    <w:p>
      <w:pPr>
        <w:pStyle w:val="ConsPlusNormal"/>
        <w:ind w:firstLine="540"/>
        <w:jc w:val="both"/>
        <w:rPr>
          <w:sz w:val="28"/>
          <w:szCs w:val="28"/>
        </w:rPr>
      </w:pPr>
      <w:r>
        <w:rPr>
          <w:sz w:val="28"/>
          <w:szCs w:val="28"/>
        </w:rPr>
        <w:t xml:space="preserve">Программой предусматривается решение следующих задач:</w:t>
      </w:r>
    </w:p>
    <w:p>
      <w:pPr>
        <w:pStyle w:val="ConsPlusNormal"/>
        <w:ind w:firstLine="540"/>
        <w:jc w:val="both"/>
        <w:rPr>
          <w:sz w:val="28"/>
          <w:szCs w:val="28"/>
        </w:rPr>
      </w:pPr>
      <w:r>
        <w:rPr>
          <w:sz w:val="28"/>
          <w:szCs w:val="28"/>
        </w:rPr>
        <w:t xml:space="preserve">обеспечение учета объема потребляемых энергетических ресурсов;</w:t>
      </w:r>
    </w:p>
    <w:p>
      <w:pPr>
        <w:pStyle w:val="ConsPlusNormal"/>
        <w:ind w:firstLine="540"/>
        <w:jc w:val="both"/>
        <w:rPr>
          <w:sz w:val="28"/>
          <w:szCs w:val="28"/>
        </w:rPr>
      </w:pPr>
      <w:r>
        <w:rPr>
          <w:sz w:val="28"/>
          <w:szCs w:val="28"/>
        </w:rPr>
        <w:t xml:space="preserve">снижение расходов бюджета города Ставрополя на оплату за потребленные энергетические ресурсы;</w:t>
      </w:r>
    </w:p>
    <w:p>
      <w:pPr>
        <w:pStyle w:val="ConsPlusNormal"/>
        <w:ind w:firstLine="540"/>
        <w:jc w:val="both"/>
        <w:rPr>
          <w:sz w:val="28"/>
          <w:szCs w:val="28"/>
        </w:rPr>
      </w:pPr>
      <w:r>
        <w:rPr>
          <w:sz w:val="28"/>
          <w:szCs w:val="28"/>
        </w:rPr>
        <w:t xml:space="preserve">с</w:t>
      </w:r>
      <w:r>
        <w:rPr>
          <w:sz w:val="28"/>
          <w:szCs w:val="28"/>
        </w:rPr>
        <w:t xml:space="preserve">окращение потерь энергетических ресурсов при их транспортировке;</w:t>
      </w:r>
    </w:p>
    <w:p>
      <w:pPr>
        <w:pStyle w:val="ConsPlusNormal"/>
        <w:ind w:firstLine="540"/>
        <w:jc w:val="both"/>
        <w:rPr>
          <w:sz w:val="28"/>
          <w:szCs w:val="28"/>
        </w:rPr>
      </w:pPr>
      <w:r>
        <w:rPr>
          <w:sz w:val="28"/>
          <w:szCs w:val="28"/>
        </w:rPr>
        <w:t xml:space="preserve">повышение эффективности энергопотребления путем внедрения современных энергосберегающих технологий и оборудования в бюджетном секторе, в жилищном фонде и системах коммунальной инфраструктуры.</w:t>
      </w:r>
    </w:p>
    <w:p>
      <w:pPr>
        <w:pStyle w:val="ConsPlusTitle"/>
        <w:jc w:val="center"/>
        <w:rPr>
          <w:rFonts w:ascii="Times New Roman" w:hAnsi="Times New Roman"/>
          <w:b w:val="0"/>
          <w:sz w:val="28"/>
          <w:szCs w:val="28"/>
        </w:rPr>
      </w:pPr>
    </w:p>
    <w:p>
      <w:pPr>
        <w:pStyle w:val="ConsPlusTitle"/>
        <w:jc w:val="center"/>
        <w:rPr>
          <w:rFonts w:ascii="Times New Roman" w:hAnsi="Times New Roman"/>
          <w:b w:val="0"/>
          <w:sz w:val="28"/>
          <w:szCs w:val="28"/>
        </w:rPr>
      </w:pPr>
      <w:r>
        <w:rPr>
          <w:rFonts w:ascii="Times New Roman" w:hAnsi="Times New Roman"/>
          <w:b w:val="0"/>
          <w:sz w:val="28"/>
          <w:szCs w:val="28"/>
        </w:rPr>
        <w:t xml:space="preserve">3</w:t>
      </w:r>
      <w:r>
        <w:rPr>
          <w:rFonts w:ascii="Times New Roman" w:hAnsi="Times New Roman"/>
          <w:b w:val="0"/>
          <w:sz w:val="28"/>
          <w:szCs w:val="28"/>
        </w:rPr>
        <w:t xml:space="preserve">. Сроки реализации Программы</w:t>
      </w:r>
    </w:p>
    <w:p>
      <w:pPr>
        <w:pStyle w:val="ConsPlusNormal"/>
        <w:jc w:val="both"/>
        <w:rPr>
          <w:sz w:val="28"/>
          <w:szCs w:val="28"/>
        </w:rPr>
      </w:pPr>
    </w:p>
    <w:p>
      <w:pPr>
        <w:pStyle w:val="ConsPlusNormal"/>
        <w:ind w:firstLine="540"/>
        <w:jc w:val="both"/>
        <w:rPr>
          <w:sz w:val="28"/>
          <w:szCs w:val="28"/>
        </w:rPr>
      </w:pPr>
      <w:r>
        <w:rPr>
          <w:sz w:val="28"/>
          <w:szCs w:val="28"/>
        </w:rPr>
        <w:t xml:space="preserve">Реализация Прогр</w:t>
      </w:r>
      <w:r>
        <w:rPr>
          <w:sz w:val="28"/>
          <w:szCs w:val="28"/>
        </w:rPr>
        <w:t xml:space="preserve">аммы рассчитана на 6 лет, с 2023</w:t>
      </w:r>
      <w:r>
        <w:rPr>
          <w:sz w:val="28"/>
          <w:szCs w:val="28"/>
        </w:rPr>
        <w:t xml:space="preserve"> года</w:t>
      </w:r>
      <w:r>
        <w:rPr>
          <w:sz w:val="28"/>
          <w:szCs w:val="28"/>
        </w:rPr>
        <w:t xml:space="preserve"> по 2028</w:t>
      </w:r>
      <w:r>
        <w:rPr>
          <w:sz w:val="28"/>
          <w:szCs w:val="28"/>
        </w:rPr>
        <w:t xml:space="preserve"> год включительно.</w:t>
      </w:r>
    </w:p>
    <w:p>
      <w:pPr>
        <w:pStyle w:val="ConsPlusNormal"/>
        <w:jc w:val="both"/>
        <w:rPr>
          <w:sz w:val="28"/>
          <w:szCs w:val="28"/>
        </w:rPr>
      </w:pPr>
    </w:p>
    <w:p>
      <w:pPr>
        <w:pStyle w:val="ConsPlusTitle"/>
        <w:jc w:val="center"/>
        <w:rPr>
          <w:b w:val="0"/>
          <w:sz w:val="28"/>
          <w:szCs w:val="28"/>
        </w:rPr>
      </w:pPr>
      <w:r>
        <w:rPr>
          <w:rFonts w:ascii="Times New Roman" w:hAnsi="Times New Roman"/>
          <w:b w:val="0"/>
          <w:sz w:val="28"/>
          <w:szCs w:val="28"/>
        </w:rPr>
        <w:t xml:space="preserve">4</w:t>
      </w:r>
      <w:r>
        <w:rPr>
          <w:rFonts w:ascii="Times New Roman" w:hAnsi="Times New Roman"/>
          <w:b w:val="0"/>
          <w:sz w:val="28"/>
          <w:szCs w:val="28"/>
        </w:rPr>
        <w:t xml:space="preserve">. Перечень и общая характеристика мероприятий Программы</w:t>
      </w:r>
    </w:p>
    <w:p>
      <w:pPr>
        <w:pStyle w:val="ConsPlusNormal"/>
        <w:jc w:val="both"/>
        <w:rPr>
          <w:color w:val="000000"/>
          <w:sz w:val="28"/>
          <w:szCs w:val="28"/>
        </w:rPr>
      </w:pPr>
    </w:p>
    <w:p>
      <w:pPr>
        <w:pStyle w:val="ConsPlusNormal"/>
        <w:ind w:firstLine="540"/>
        <w:jc w:val="both"/>
        <w:rPr>
          <w:sz w:val="28"/>
          <w:szCs w:val="28"/>
        </w:rPr>
      </w:pPr>
      <w:hyperlink r:id="rId22" w:anchor="_blank" w:history="1">
        <w:r>
          <w:rPr>
            <w:rStyle w:val="ListLabel1"/>
            <w:color w:val="000000"/>
            <w:sz w:val="28"/>
            <w:szCs w:val="28"/>
          </w:rPr>
          <w:t xml:space="preserve">Перечень</w:t>
        </w:r>
      </w:hyperlink>
      <w:r>
        <w:rPr>
          <w:color w:val="000000"/>
          <w:sz w:val="28"/>
          <w:szCs w:val="28"/>
        </w:rPr>
        <w:t xml:space="preserve"> и общая характеристика мероприятий Программы приведены в приложении 1 к Программе.</w:t>
      </w:r>
    </w:p>
    <w:p>
      <w:pPr>
        <w:pStyle w:val="ConsPlusNormal"/>
        <w:jc w:val="both"/>
        <w:rPr>
          <w:sz w:val="28"/>
          <w:szCs w:val="28"/>
        </w:rPr>
      </w:pPr>
    </w:p>
    <w:p>
      <w:pPr>
        <w:pStyle w:val="ConsPlusTitle"/>
        <w:jc w:val="center"/>
        <w:rPr>
          <w:b w:val="0"/>
          <w:sz w:val="28"/>
          <w:szCs w:val="28"/>
        </w:rPr>
      </w:pPr>
      <w:r>
        <w:rPr>
          <w:rFonts w:ascii="Times New Roman" w:hAnsi="Times New Roman"/>
          <w:b w:val="0"/>
          <w:sz w:val="28"/>
          <w:szCs w:val="28"/>
        </w:rPr>
        <w:t xml:space="preserve">5</w:t>
      </w:r>
      <w:r>
        <w:rPr>
          <w:rFonts w:ascii="Times New Roman" w:hAnsi="Times New Roman"/>
          <w:b w:val="0"/>
          <w:sz w:val="28"/>
          <w:szCs w:val="28"/>
        </w:rPr>
        <w:t xml:space="preserve">. Ресурсное обеспечение Программы</w:t>
      </w:r>
    </w:p>
    <w:p>
      <w:pPr>
        <w:pStyle w:val="ConsPlusNormal"/>
        <w:jc w:val="center"/>
        <w:rPr>
          <w:sz w:val="28"/>
          <w:szCs w:val="28"/>
        </w:rPr>
      </w:pPr>
    </w:p>
    <w:p>
      <w:pPr>
        <w:pStyle w:val="ConsPlusNormal"/>
        <w:ind w:firstLine="720"/>
        <w:jc w:val="both"/>
        <w:rPr>
          <w:sz w:val="28"/>
          <w:szCs w:val="28"/>
        </w:rPr>
      </w:pPr>
      <w:r>
        <w:rPr>
          <w:sz w:val="28"/>
          <w:szCs w:val="28"/>
        </w:rPr>
        <w:t xml:space="preserve">Общий объем </w:t>
      </w:r>
      <w:r>
        <w:rPr>
          <w:sz w:val="28"/>
          <w:szCs w:val="28"/>
        </w:rPr>
        <w:t xml:space="preserve">финансирования программы состав</w:t>
      </w:r>
      <w:r>
        <w:rPr>
          <w:sz w:val="28"/>
          <w:szCs w:val="28"/>
        </w:rPr>
        <w:t xml:space="preserve">ляе</w:t>
      </w:r>
      <w:r>
        <w:rPr>
          <w:sz w:val="28"/>
          <w:szCs w:val="28"/>
        </w:rPr>
        <w:t xml:space="preserve">т</w:t>
      </w:r>
      <w:r>
        <w:rPr>
          <w:sz w:val="28"/>
          <w:szCs w:val="28"/>
        </w:rPr>
        <w:t xml:space="preserve"> 1 680 999,09 тыс. рублей</w:t>
      </w:r>
      <w:r>
        <w:rPr>
          <w:sz w:val="28"/>
          <w:szCs w:val="28"/>
        </w:rPr>
        <w:t xml:space="preserve">, в том числе</w:t>
      </w:r>
      <w:r>
        <w:rPr>
          <w:sz w:val="28"/>
          <w:szCs w:val="28"/>
        </w:rPr>
        <w:t xml:space="preserve"> по годам</w:t>
      </w:r>
      <w:r>
        <w:rPr>
          <w:sz w:val="28"/>
          <w:szCs w:val="28"/>
        </w:rPr>
        <w:t xml:space="preserve">:</w:t>
      </w:r>
    </w:p>
    <w:p>
      <w:pPr>
        <w:pStyle w:val="ConsPlusNormal"/>
        <w:ind w:firstLine="720"/>
        <w:jc w:val="both"/>
        <w:rPr>
          <w:sz w:val="28"/>
          <w:szCs w:val="28"/>
        </w:rPr>
      </w:pPr>
      <w:r>
        <w:rPr>
          <w:sz w:val="28"/>
          <w:szCs w:val="28"/>
        </w:rPr>
        <w:t xml:space="preserve">2023 год – 217</w:t>
      </w:r>
      <w:r>
        <w:rPr>
          <w:sz w:val="28"/>
          <w:szCs w:val="28"/>
        </w:rPr>
        <w:t xml:space="preserve"> </w:t>
      </w:r>
      <w:r>
        <w:rPr>
          <w:sz w:val="28"/>
          <w:szCs w:val="28"/>
        </w:rPr>
        <w:t xml:space="preserve">293</w:t>
      </w:r>
      <w:r>
        <w:rPr>
          <w:sz w:val="28"/>
          <w:szCs w:val="28"/>
        </w:rPr>
        <w:t xml:space="preserve">,</w:t>
      </w:r>
      <w:r>
        <w:rPr>
          <w:sz w:val="28"/>
          <w:szCs w:val="28"/>
        </w:rPr>
        <w:t xml:space="preserve">59</w:t>
      </w:r>
      <w:r>
        <w:rPr>
          <w:sz w:val="28"/>
          <w:szCs w:val="28"/>
        </w:rPr>
        <w:t xml:space="preserve"> тыс. рублей;</w:t>
      </w:r>
    </w:p>
    <w:p>
      <w:pPr>
        <w:pStyle w:val="ConsPlusNormal"/>
        <w:ind w:firstLine="720"/>
        <w:jc w:val="both"/>
        <w:rPr>
          <w:sz w:val="28"/>
          <w:szCs w:val="28"/>
        </w:rPr>
      </w:pPr>
      <w:r>
        <w:rPr>
          <w:sz w:val="28"/>
          <w:szCs w:val="28"/>
        </w:rPr>
        <w:t xml:space="preserve">2024 год – 278 040,30</w:t>
      </w:r>
      <w:r>
        <w:rPr>
          <w:sz w:val="28"/>
          <w:szCs w:val="28"/>
        </w:rPr>
        <w:t xml:space="preserve"> тыс. рублей;</w:t>
      </w:r>
    </w:p>
    <w:p>
      <w:pPr>
        <w:pStyle w:val="ConsPlusNormal"/>
        <w:ind w:firstLine="720"/>
        <w:jc w:val="both"/>
        <w:rPr>
          <w:sz w:val="28"/>
          <w:szCs w:val="28"/>
        </w:rPr>
      </w:pPr>
      <w:r>
        <w:rPr>
          <w:sz w:val="28"/>
          <w:szCs w:val="28"/>
        </w:rPr>
        <w:t xml:space="preserve">2025 год – 296 416,30</w:t>
      </w:r>
      <w:r>
        <w:rPr>
          <w:sz w:val="28"/>
          <w:szCs w:val="28"/>
        </w:rPr>
        <w:t xml:space="preserve"> тыс. рублей;</w:t>
      </w:r>
    </w:p>
    <w:p>
      <w:pPr>
        <w:pStyle w:val="ConsPlusNormal"/>
        <w:ind w:firstLine="720"/>
        <w:jc w:val="both"/>
        <w:rPr>
          <w:sz w:val="28"/>
          <w:szCs w:val="28"/>
        </w:rPr>
      </w:pPr>
      <w:r>
        <w:rPr>
          <w:sz w:val="28"/>
          <w:szCs w:val="28"/>
        </w:rPr>
        <w:t xml:space="preserve">2026 год –</w:t>
      </w:r>
      <w:r>
        <w:rPr>
          <w:sz w:val="28"/>
          <w:szCs w:val="28"/>
        </w:rPr>
        <w:t xml:space="preserve"> 296 416,30</w:t>
      </w:r>
      <w:r>
        <w:rPr>
          <w:sz w:val="28"/>
          <w:szCs w:val="28"/>
        </w:rPr>
        <w:t xml:space="preserve"> тыс. рублей;</w:t>
      </w:r>
    </w:p>
    <w:p>
      <w:pPr>
        <w:pStyle w:val="ConsPlusNormal"/>
        <w:ind w:firstLine="720"/>
        <w:jc w:val="both"/>
        <w:rPr>
          <w:sz w:val="28"/>
          <w:szCs w:val="28"/>
        </w:rPr>
      </w:pPr>
      <w:r>
        <w:rPr>
          <w:sz w:val="28"/>
          <w:szCs w:val="28"/>
        </w:rPr>
        <w:t xml:space="preserve">2027 год –</w:t>
      </w:r>
      <w:r>
        <w:rPr>
          <w:sz w:val="28"/>
          <w:szCs w:val="28"/>
        </w:rPr>
        <w:t xml:space="preserve"> 296 416,30</w:t>
      </w:r>
      <w:r>
        <w:rPr>
          <w:sz w:val="28"/>
          <w:szCs w:val="28"/>
        </w:rPr>
        <w:t xml:space="preserve"> тыс. рублей;</w:t>
      </w:r>
    </w:p>
    <w:p>
      <w:pPr>
        <w:pStyle w:val="ConsPlusNormal"/>
        <w:ind w:firstLine="720"/>
        <w:jc w:val="both"/>
        <w:rPr>
          <w:sz w:val="28"/>
          <w:szCs w:val="28"/>
        </w:rPr>
      </w:pPr>
      <w:r>
        <w:rPr>
          <w:sz w:val="28"/>
          <w:szCs w:val="28"/>
        </w:rPr>
        <w:t xml:space="preserve">2028 год –</w:t>
      </w:r>
      <w:r>
        <w:rPr>
          <w:sz w:val="28"/>
          <w:szCs w:val="28"/>
        </w:rPr>
        <w:t xml:space="preserve"> 296 416,30</w:t>
      </w:r>
      <w:r>
        <w:rPr>
          <w:sz w:val="28"/>
          <w:szCs w:val="28"/>
        </w:rPr>
        <w:t xml:space="preserve"> тыс. рублей</w:t>
      </w:r>
    </w:p>
    <w:p>
      <w:pPr>
        <w:pStyle w:val="ConsPlusNormal"/>
        <w:ind w:firstLine="720"/>
        <w:jc w:val="both"/>
        <w:rPr>
          <w:sz w:val="28"/>
          <w:szCs w:val="28"/>
        </w:rPr>
      </w:pPr>
      <w:r>
        <w:rPr>
          <w:sz w:val="28"/>
          <w:szCs w:val="28"/>
        </w:rPr>
        <w:t xml:space="preserve">объем финансирования программы за счет  средств бюджета города Ставрополя составит 56 156,04 тыс. рублей, в том числе:</w:t>
      </w:r>
    </w:p>
    <w:p>
      <w:pPr>
        <w:pStyle w:val="ConsPlusNormal"/>
        <w:ind w:firstLine="720"/>
        <w:jc w:val="both"/>
        <w:rPr>
          <w:sz w:val="28"/>
          <w:szCs w:val="28"/>
        </w:rPr>
      </w:pPr>
      <w:r>
        <w:rPr>
          <w:sz w:val="28"/>
          <w:szCs w:val="28"/>
        </w:rPr>
        <w:t xml:space="preserve">2023 год –</w:t>
      </w:r>
      <w:r>
        <w:rPr>
          <w:sz w:val="28"/>
          <w:szCs w:val="28"/>
        </w:rPr>
        <w:t xml:space="preserve"> </w:t>
      </w:r>
      <w:r>
        <w:rPr>
          <w:sz w:val="28"/>
          <w:szCs w:val="28"/>
        </w:rPr>
        <w:t xml:space="preserve">9359,34 тыс. рублей;</w:t>
      </w:r>
    </w:p>
    <w:p>
      <w:pPr>
        <w:pStyle w:val="ConsPlusNormal"/>
        <w:ind w:firstLine="720"/>
        <w:jc w:val="both"/>
        <w:rPr>
          <w:sz w:val="28"/>
          <w:szCs w:val="28"/>
        </w:rPr>
      </w:pPr>
      <w:r>
        <w:rPr>
          <w:sz w:val="28"/>
          <w:szCs w:val="28"/>
        </w:rPr>
        <w:t xml:space="preserve">2024 год –</w:t>
      </w:r>
      <w:r>
        <w:rPr>
          <w:sz w:val="28"/>
          <w:szCs w:val="28"/>
        </w:rPr>
        <w:t xml:space="preserve"> </w:t>
      </w:r>
      <w:r>
        <w:rPr>
          <w:sz w:val="28"/>
          <w:szCs w:val="28"/>
        </w:rPr>
        <w:t xml:space="preserve">9359,34 тыс. рублей;</w:t>
      </w:r>
    </w:p>
    <w:p>
      <w:pPr>
        <w:pStyle w:val="ConsPlusNormal"/>
        <w:ind w:firstLine="720"/>
        <w:jc w:val="both"/>
        <w:rPr>
          <w:sz w:val="28"/>
          <w:szCs w:val="28"/>
        </w:rPr>
      </w:pPr>
      <w:r>
        <w:rPr>
          <w:sz w:val="28"/>
          <w:szCs w:val="28"/>
        </w:rPr>
        <w:t xml:space="preserve">2025 год –</w:t>
      </w:r>
      <w:r>
        <w:rPr>
          <w:sz w:val="28"/>
          <w:szCs w:val="28"/>
        </w:rPr>
        <w:t xml:space="preserve"> </w:t>
      </w:r>
      <w:r>
        <w:rPr>
          <w:sz w:val="28"/>
          <w:szCs w:val="28"/>
        </w:rPr>
        <w:t xml:space="preserve">9359,34 тыс. рублей;</w:t>
      </w:r>
    </w:p>
    <w:p>
      <w:pPr>
        <w:pStyle w:val="ConsPlusNormal"/>
        <w:ind w:firstLine="720"/>
        <w:jc w:val="both"/>
        <w:rPr>
          <w:sz w:val="28"/>
          <w:szCs w:val="28"/>
        </w:rPr>
      </w:pPr>
      <w:r>
        <w:rPr>
          <w:sz w:val="28"/>
          <w:szCs w:val="28"/>
        </w:rPr>
        <w:t xml:space="preserve">2026 год –</w:t>
      </w:r>
      <w:r>
        <w:rPr>
          <w:sz w:val="28"/>
          <w:szCs w:val="28"/>
        </w:rPr>
        <w:t xml:space="preserve"> </w:t>
      </w:r>
      <w:r>
        <w:rPr>
          <w:sz w:val="28"/>
          <w:szCs w:val="28"/>
        </w:rPr>
        <w:t xml:space="preserve">9359,34 тыс. рублей;</w:t>
      </w:r>
    </w:p>
    <w:p>
      <w:pPr>
        <w:pStyle w:val="ConsPlusNormal"/>
        <w:ind w:firstLine="720"/>
        <w:jc w:val="both"/>
        <w:rPr>
          <w:sz w:val="28"/>
          <w:szCs w:val="28"/>
        </w:rPr>
      </w:pPr>
      <w:r>
        <w:rPr>
          <w:sz w:val="28"/>
          <w:szCs w:val="28"/>
        </w:rPr>
        <w:t xml:space="preserve">2027 год –</w:t>
      </w:r>
      <w:r>
        <w:rPr>
          <w:sz w:val="28"/>
          <w:szCs w:val="28"/>
        </w:rPr>
        <w:t xml:space="preserve"> </w:t>
      </w:r>
      <w:r>
        <w:rPr>
          <w:sz w:val="28"/>
          <w:szCs w:val="28"/>
        </w:rPr>
        <w:t xml:space="preserve">9359,34 тыс. рублей;</w:t>
      </w:r>
    </w:p>
    <w:p>
      <w:pPr>
        <w:pStyle w:val="ConsPlusNormal"/>
        <w:ind w:firstLine="720"/>
        <w:jc w:val="both"/>
        <w:rPr>
          <w:sz w:val="28"/>
          <w:szCs w:val="28"/>
        </w:rPr>
      </w:pPr>
      <w:r>
        <w:rPr>
          <w:sz w:val="28"/>
          <w:szCs w:val="28"/>
        </w:rPr>
        <w:t xml:space="preserve">2028 год –</w:t>
      </w:r>
      <w:r>
        <w:rPr>
          <w:sz w:val="28"/>
          <w:szCs w:val="28"/>
        </w:rPr>
        <w:t xml:space="preserve"> </w:t>
      </w:r>
      <w:r>
        <w:rPr>
          <w:sz w:val="28"/>
          <w:szCs w:val="28"/>
        </w:rPr>
        <w:t xml:space="preserve">9359,34 тыс. рублей</w:t>
      </w:r>
    </w:p>
    <w:p>
      <w:pPr>
        <w:pStyle w:val="ConsPlusNormal"/>
        <w:ind w:firstLine="720"/>
        <w:jc w:val="both"/>
        <w:rPr>
          <w:sz w:val="28"/>
          <w:szCs w:val="28"/>
        </w:rPr>
      </w:pPr>
      <w:r>
        <w:rPr>
          <w:sz w:val="28"/>
          <w:szCs w:val="28"/>
        </w:rPr>
        <w:t xml:space="preserve">собственников помещений в многоквартирных домах</w:t>
      </w:r>
      <w:r>
        <w:rPr>
          <w:sz w:val="28"/>
          <w:szCs w:val="28"/>
        </w:rPr>
        <w:t xml:space="preserve"> </w:t>
      </w:r>
      <w:r>
        <w:rPr>
          <w:sz w:val="28"/>
          <w:szCs w:val="28"/>
        </w:rPr>
        <w:t xml:space="preserve">104 939,05 тыс. рублей, в том числе:</w:t>
      </w:r>
    </w:p>
    <w:p>
      <w:pPr>
        <w:pStyle w:val="ConsPlusNormal"/>
        <w:ind w:firstLine="720"/>
        <w:jc w:val="both"/>
        <w:rPr>
          <w:sz w:val="28"/>
          <w:szCs w:val="28"/>
        </w:rPr>
      </w:pPr>
      <w:r>
        <w:rPr>
          <w:sz w:val="28"/>
          <w:szCs w:val="28"/>
        </w:rPr>
        <w:t xml:space="preserve">2023 год –</w:t>
      </w:r>
      <w:r>
        <w:rPr>
          <w:sz w:val="28"/>
          <w:szCs w:val="28"/>
        </w:rPr>
        <w:t xml:space="preserve"> </w:t>
      </w:r>
      <w:r>
        <w:rPr>
          <w:sz w:val="28"/>
          <w:szCs w:val="28"/>
        </w:rPr>
        <w:t xml:space="preserve">16604,25</w:t>
      </w:r>
      <w:r>
        <w:rPr>
          <w:sz w:val="28"/>
          <w:szCs w:val="28"/>
        </w:rPr>
        <w:t xml:space="preserve"> тыс. </w:t>
      </w:r>
      <w:r>
        <w:rPr>
          <w:sz w:val="28"/>
          <w:szCs w:val="28"/>
        </w:rPr>
        <w:t xml:space="preserve">рублей;</w:t>
      </w:r>
    </w:p>
    <w:p>
      <w:pPr>
        <w:pStyle w:val="ConsPlusNormal"/>
        <w:ind w:firstLine="720"/>
        <w:jc w:val="both"/>
        <w:rPr>
          <w:sz w:val="28"/>
          <w:szCs w:val="28"/>
        </w:rPr>
      </w:pPr>
      <w:r>
        <w:rPr>
          <w:sz w:val="28"/>
          <w:szCs w:val="28"/>
        </w:rPr>
        <w:t xml:space="preserve">2024 год –</w:t>
      </w:r>
      <w:r>
        <w:rPr>
          <w:sz w:val="28"/>
          <w:szCs w:val="28"/>
        </w:rPr>
        <w:t xml:space="preserve"> </w:t>
      </w:r>
      <w:r>
        <w:rPr>
          <w:sz w:val="28"/>
          <w:szCs w:val="28"/>
        </w:rPr>
        <w:t xml:space="preserve">17666,96</w:t>
      </w:r>
      <w:r>
        <w:rPr>
          <w:sz w:val="28"/>
          <w:szCs w:val="28"/>
        </w:rPr>
        <w:t xml:space="preserve"> </w:t>
      </w:r>
      <w:r>
        <w:rPr>
          <w:sz w:val="28"/>
          <w:szCs w:val="28"/>
        </w:rPr>
        <w:t xml:space="preserve">тыс. рублей;</w:t>
      </w:r>
    </w:p>
    <w:p>
      <w:pPr>
        <w:pStyle w:val="ConsPlusNormal"/>
        <w:ind w:firstLine="720"/>
        <w:jc w:val="both"/>
        <w:rPr>
          <w:sz w:val="28"/>
          <w:szCs w:val="28"/>
        </w:rPr>
      </w:pPr>
      <w:r>
        <w:rPr>
          <w:sz w:val="28"/>
          <w:szCs w:val="28"/>
        </w:rPr>
        <w:t xml:space="preserve">2025 год –</w:t>
      </w:r>
      <w:r>
        <w:rPr>
          <w:sz w:val="28"/>
          <w:szCs w:val="28"/>
        </w:rPr>
        <w:t xml:space="preserve"> </w:t>
      </w:r>
      <w:r>
        <w:rPr>
          <w:sz w:val="28"/>
          <w:szCs w:val="28"/>
        </w:rPr>
        <w:t xml:space="preserve">17666,96</w:t>
      </w:r>
      <w:r>
        <w:rPr>
          <w:sz w:val="28"/>
          <w:szCs w:val="28"/>
        </w:rPr>
        <w:t xml:space="preserve"> </w:t>
      </w:r>
      <w:r>
        <w:rPr>
          <w:sz w:val="28"/>
          <w:szCs w:val="28"/>
        </w:rPr>
        <w:t xml:space="preserve">тыс. рублей;</w:t>
      </w:r>
    </w:p>
    <w:p>
      <w:pPr>
        <w:pStyle w:val="ConsPlusNormal"/>
        <w:ind w:firstLine="720"/>
        <w:jc w:val="both"/>
        <w:rPr>
          <w:sz w:val="28"/>
          <w:szCs w:val="28"/>
        </w:rPr>
      </w:pPr>
      <w:r>
        <w:rPr>
          <w:sz w:val="28"/>
          <w:szCs w:val="28"/>
        </w:rPr>
        <w:t xml:space="preserve">2026 год –</w:t>
      </w:r>
      <w:r>
        <w:rPr>
          <w:sz w:val="28"/>
          <w:szCs w:val="28"/>
        </w:rPr>
        <w:t xml:space="preserve"> </w:t>
      </w:r>
      <w:r>
        <w:rPr>
          <w:sz w:val="28"/>
          <w:szCs w:val="28"/>
        </w:rPr>
        <w:t xml:space="preserve">17666,96</w:t>
      </w:r>
      <w:r>
        <w:rPr>
          <w:sz w:val="28"/>
          <w:szCs w:val="28"/>
        </w:rPr>
        <w:t xml:space="preserve"> тыс. </w:t>
      </w:r>
      <w:r>
        <w:rPr>
          <w:sz w:val="28"/>
          <w:szCs w:val="28"/>
        </w:rPr>
        <w:t xml:space="preserve">рублей;</w:t>
      </w:r>
    </w:p>
    <w:p>
      <w:pPr>
        <w:pStyle w:val="ConsPlusNormal"/>
        <w:ind w:firstLine="720"/>
        <w:jc w:val="both"/>
        <w:rPr>
          <w:sz w:val="28"/>
          <w:szCs w:val="28"/>
        </w:rPr>
      </w:pPr>
      <w:r>
        <w:rPr>
          <w:sz w:val="28"/>
          <w:szCs w:val="28"/>
        </w:rPr>
        <w:t xml:space="preserve">2027 год –</w:t>
      </w:r>
      <w:r>
        <w:rPr>
          <w:sz w:val="28"/>
          <w:szCs w:val="28"/>
        </w:rPr>
        <w:t xml:space="preserve"> </w:t>
      </w:r>
      <w:r>
        <w:rPr>
          <w:sz w:val="28"/>
          <w:szCs w:val="28"/>
        </w:rPr>
        <w:t xml:space="preserve">17666,96</w:t>
      </w:r>
      <w:r>
        <w:rPr>
          <w:sz w:val="28"/>
          <w:szCs w:val="28"/>
        </w:rPr>
        <w:t xml:space="preserve"> тыс. рублей;</w:t>
      </w:r>
    </w:p>
    <w:p>
      <w:pPr>
        <w:pStyle w:val="ConsPlusNormal"/>
        <w:ind w:firstLine="720"/>
        <w:jc w:val="both"/>
        <w:rPr>
          <w:sz w:val="28"/>
          <w:szCs w:val="28"/>
        </w:rPr>
      </w:pPr>
      <w:r>
        <w:rPr>
          <w:sz w:val="28"/>
          <w:szCs w:val="28"/>
        </w:rPr>
        <w:t xml:space="preserve">2028 год –</w:t>
      </w:r>
      <w:r>
        <w:rPr>
          <w:sz w:val="28"/>
          <w:szCs w:val="28"/>
        </w:rPr>
        <w:t xml:space="preserve"> </w:t>
      </w:r>
      <w:r>
        <w:rPr>
          <w:sz w:val="28"/>
          <w:szCs w:val="28"/>
        </w:rPr>
        <w:t xml:space="preserve">17666,96</w:t>
      </w:r>
      <w:r>
        <w:rPr>
          <w:sz w:val="28"/>
          <w:szCs w:val="28"/>
        </w:rPr>
        <w:t xml:space="preserve"> тыс. рублей</w:t>
      </w:r>
    </w:p>
    <w:p>
      <w:pPr>
        <w:pStyle w:val="ConsPlusNormal"/>
        <w:ind w:firstLine="720"/>
        <w:jc w:val="both"/>
        <w:rPr>
          <w:sz w:val="28"/>
          <w:szCs w:val="28"/>
          <w:lang w:eastAsia="ar-SA"/>
        </w:rPr>
      </w:pPr>
      <w:r>
        <w:rPr>
          <w:sz w:val="28"/>
          <w:szCs w:val="28"/>
        </w:rPr>
        <w:t xml:space="preserve">хозяйствующих субъектов</w:t>
      </w:r>
      <w:r>
        <w:rPr>
          <w:sz w:val="28"/>
          <w:szCs w:val="28"/>
        </w:rPr>
        <w:t xml:space="preserve"> </w:t>
      </w:r>
      <w:r>
        <w:rPr>
          <w:sz w:val="28"/>
          <w:szCs w:val="28"/>
        </w:rPr>
        <w:t xml:space="preserve">1 519 904,00  тыс. рублей, в том числе:</w:t>
      </w:r>
    </w:p>
    <w:p>
      <w:pPr>
        <w:pStyle w:val="ConsPlusNormal"/>
        <w:ind w:firstLine="720"/>
        <w:jc w:val="both"/>
        <w:rPr>
          <w:sz w:val="28"/>
          <w:szCs w:val="28"/>
          <w:lang w:eastAsia="ar-SA"/>
        </w:rPr>
      </w:pPr>
      <w:r>
        <w:rPr>
          <w:sz w:val="28"/>
          <w:szCs w:val="28"/>
        </w:rPr>
        <w:t xml:space="preserve">2023 год –</w:t>
      </w:r>
      <w:r>
        <w:rPr>
          <w:sz w:val="28"/>
          <w:szCs w:val="28"/>
        </w:rPr>
        <w:t xml:space="preserve"> </w:t>
      </w:r>
      <w:r>
        <w:rPr>
          <w:sz w:val="28"/>
          <w:szCs w:val="28"/>
        </w:rPr>
        <w:t xml:space="preserve">191330,00</w:t>
      </w:r>
      <w:r>
        <w:rPr>
          <w:sz w:val="28"/>
          <w:szCs w:val="28"/>
        </w:rPr>
        <w:t xml:space="preserve"> </w:t>
      </w:r>
      <w:r>
        <w:rPr>
          <w:sz w:val="28"/>
          <w:szCs w:val="28"/>
        </w:rPr>
        <w:t xml:space="preserve">тыс. рублей;</w:t>
      </w:r>
    </w:p>
    <w:p>
      <w:pPr>
        <w:pStyle w:val="ConsPlusNormal"/>
        <w:ind w:firstLine="720"/>
        <w:jc w:val="both"/>
        <w:rPr>
          <w:sz w:val="28"/>
          <w:szCs w:val="28"/>
          <w:lang w:eastAsia="ar-SA"/>
        </w:rPr>
      </w:pPr>
      <w:r>
        <w:rPr>
          <w:sz w:val="28"/>
          <w:szCs w:val="28"/>
        </w:rPr>
        <w:t xml:space="preserve">2024 год –</w:t>
      </w:r>
      <w:r>
        <w:rPr>
          <w:sz w:val="28"/>
          <w:szCs w:val="28"/>
        </w:rPr>
        <w:t xml:space="preserve"> </w:t>
      </w:r>
      <w:r>
        <w:rPr>
          <w:sz w:val="28"/>
          <w:szCs w:val="28"/>
        </w:rPr>
        <w:t xml:space="preserve">251014,00</w:t>
      </w:r>
      <w:r>
        <w:rPr>
          <w:sz w:val="28"/>
          <w:szCs w:val="28"/>
        </w:rPr>
        <w:t xml:space="preserve"> </w:t>
      </w:r>
      <w:r>
        <w:rPr>
          <w:sz w:val="28"/>
          <w:szCs w:val="28"/>
        </w:rPr>
        <w:t xml:space="preserve">тыс. рублей;</w:t>
      </w:r>
    </w:p>
    <w:p>
      <w:pPr>
        <w:pStyle w:val="ConsPlusNormal"/>
        <w:ind w:firstLine="720"/>
        <w:jc w:val="both"/>
        <w:rPr>
          <w:sz w:val="28"/>
          <w:szCs w:val="28"/>
          <w:lang w:eastAsia="ar-SA"/>
        </w:rPr>
      </w:pPr>
      <w:r>
        <w:rPr>
          <w:sz w:val="28"/>
          <w:szCs w:val="28"/>
        </w:rPr>
        <w:t xml:space="preserve">2025 год –</w:t>
      </w:r>
      <w:r>
        <w:rPr>
          <w:sz w:val="28"/>
          <w:szCs w:val="28"/>
        </w:rPr>
        <w:t xml:space="preserve"> </w:t>
      </w:r>
      <w:r>
        <w:rPr>
          <w:sz w:val="28"/>
          <w:szCs w:val="28"/>
        </w:rPr>
        <w:t xml:space="preserve">269390,00</w:t>
      </w:r>
      <w:r>
        <w:rPr>
          <w:sz w:val="28"/>
          <w:szCs w:val="28"/>
        </w:rPr>
        <w:t xml:space="preserve"> </w:t>
      </w:r>
      <w:r>
        <w:rPr>
          <w:sz w:val="28"/>
          <w:szCs w:val="28"/>
        </w:rPr>
        <w:t xml:space="preserve">тыс. рублей;</w:t>
      </w:r>
    </w:p>
    <w:p>
      <w:pPr>
        <w:pStyle w:val="ConsPlusNormal"/>
        <w:ind w:firstLine="720"/>
        <w:jc w:val="both"/>
        <w:rPr>
          <w:sz w:val="28"/>
          <w:szCs w:val="28"/>
        </w:rPr>
      </w:pPr>
      <w:r>
        <w:rPr>
          <w:sz w:val="28"/>
          <w:szCs w:val="28"/>
        </w:rPr>
        <w:t xml:space="preserve">2026 год –</w:t>
      </w:r>
      <w:r>
        <w:rPr>
          <w:sz w:val="28"/>
          <w:szCs w:val="28"/>
        </w:rPr>
        <w:t xml:space="preserve"> </w:t>
      </w:r>
      <w:r>
        <w:rPr>
          <w:sz w:val="28"/>
          <w:szCs w:val="28"/>
        </w:rPr>
        <w:t xml:space="preserve">269390,00</w:t>
      </w:r>
      <w:r>
        <w:rPr>
          <w:sz w:val="28"/>
          <w:szCs w:val="28"/>
        </w:rPr>
        <w:t xml:space="preserve"> тыс. рублей;</w:t>
      </w:r>
    </w:p>
    <w:p>
      <w:pPr>
        <w:pStyle w:val="ConsPlusNormal"/>
        <w:ind w:firstLine="720"/>
        <w:jc w:val="both"/>
        <w:rPr>
          <w:sz w:val="28"/>
          <w:szCs w:val="28"/>
        </w:rPr>
      </w:pPr>
      <w:r>
        <w:rPr>
          <w:sz w:val="28"/>
          <w:szCs w:val="28"/>
        </w:rPr>
        <w:t xml:space="preserve">2027 год –</w:t>
      </w:r>
      <w:r>
        <w:rPr>
          <w:sz w:val="28"/>
          <w:szCs w:val="28"/>
        </w:rPr>
        <w:t xml:space="preserve"> </w:t>
      </w:r>
      <w:r>
        <w:rPr>
          <w:sz w:val="28"/>
          <w:szCs w:val="28"/>
        </w:rPr>
        <w:t xml:space="preserve">269390,00</w:t>
      </w:r>
      <w:r>
        <w:rPr>
          <w:sz w:val="28"/>
          <w:szCs w:val="28"/>
        </w:rPr>
        <w:t xml:space="preserve"> тыс. рублей;</w:t>
      </w:r>
    </w:p>
    <w:p>
      <w:pPr>
        <w:pStyle w:val="ConsPlusNormal"/>
        <w:ind w:firstLine="720"/>
        <w:jc w:val="both"/>
        <w:rPr>
          <w:sz w:val="28"/>
          <w:szCs w:val="28"/>
        </w:rPr>
      </w:pPr>
      <w:r>
        <w:rPr>
          <w:sz w:val="28"/>
          <w:szCs w:val="28"/>
        </w:rPr>
        <w:t xml:space="preserve">2028 год –</w:t>
      </w:r>
      <w:r>
        <w:rPr>
          <w:sz w:val="28"/>
          <w:szCs w:val="28"/>
        </w:rPr>
        <w:t xml:space="preserve"> </w:t>
      </w:r>
      <w:r>
        <w:rPr>
          <w:sz w:val="28"/>
          <w:szCs w:val="28"/>
        </w:rPr>
        <w:t xml:space="preserve">269390,00</w:t>
      </w:r>
      <w:r>
        <w:rPr>
          <w:sz w:val="28"/>
          <w:szCs w:val="28"/>
        </w:rPr>
        <w:t xml:space="preserve"> тыс. </w:t>
      </w:r>
      <w:r>
        <w:rPr>
          <w:sz w:val="28"/>
          <w:szCs w:val="28"/>
        </w:rPr>
        <w:t xml:space="preserve">рублей</w:t>
      </w:r>
    </w:p>
    <w:p>
      <w:pPr>
        <w:pStyle w:val="ConsPlusNormal"/>
        <w:ind w:firstLine="720"/>
        <w:jc w:val="both"/>
        <w:rPr>
          <w:sz w:val="28"/>
          <w:szCs w:val="28"/>
        </w:rPr>
      </w:pPr>
      <w:r>
        <w:rPr>
          <w:sz w:val="28"/>
          <w:szCs w:val="28"/>
        </w:rPr>
        <w:t xml:space="preserve">Объем средств б</w:t>
      </w:r>
      <w:r>
        <w:rPr>
          <w:sz w:val="28"/>
          <w:szCs w:val="28"/>
        </w:rPr>
        <w:t xml:space="preserve">юджета города Ставрополя </w:t>
      </w:r>
      <w:r>
        <w:rPr>
          <w:sz w:val="28"/>
          <w:szCs w:val="28"/>
        </w:rPr>
        <w:t xml:space="preserve">определяется решениями Ставропольской городской Думы о бюджете города Ставрополя.</w:t>
      </w:r>
    </w:p>
    <w:p>
      <w:pPr>
        <w:pStyle w:val="ConsPlusNormal"/>
        <w:ind w:firstLine="720"/>
        <w:jc w:val="both"/>
        <w:rPr>
          <w:sz w:val="28"/>
          <w:szCs w:val="28"/>
        </w:rPr>
      </w:pPr>
      <w:r>
        <w:rPr>
          <w:sz w:val="28"/>
          <w:szCs w:val="28"/>
        </w:rPr>
        <w:t xml:space="preserve">Финансирование расходов за счет средств хозяйствующих </w:t>
      </w:r>
      <w:r>
        <w:rPr>
          <w:sz w:val="28"/>
          <w:szCs w:val="28"/>
        </w:rPr>
        <w:t xml:space="preserve">                    </w:t>
      </w:r>
      <w:r>
        <w:rPr>
          <w:sz w:val="28"/>
          <w:szCs w:val="28"/>
        </w:rPr>
        <w:t xml:space="preserve">субъектов и собственников помещений в многоквартирных домах осуществляется в соответствии с Федеральны</w:t>
      </w:r>
      <w:r>
        <w:rPr>
          <w:color w:val="000000"/>
          <w:sz w:val="28"/>
          <w:szCs w:val="28"/>
        </w:rPr>
        <w:t xml:space="preserve">м </w:t>
      </w:r>
      <w:hyperlink r:id="rId23" w:history="1">
        <w:r>
          <w:rPr>
            <w:rStyle w:val="ListLabel1"/>
            <w:color w:val="000000"/>
            <w:sz w:val="28"/>
            <w:szCs w:val="28"/>
          </w:rPr>
          <w:t xml:space="preserve">законом</w:t>
        </w:r>
      </w:hyperlink>
      <w:r>
        <w:rPr>
          <w:color w:val="000000"/>
          <w:sz w:val="28"/>
          <w:szCs w:val="28"/>
        </w:rPr>
        <w:t xml:space="preserve"> от 23 ноября 2009 г. №</w:t>
      </w:r>
      <w:r>
        <w:rPr>
          <w:color w:val="000000"/>
          <w:sz w:val="28"/>
          <w:szCs w:val="28"/>
        </w:rPr>
        <w:t xml:space="preserve"> 261-ФЗ </w:t>
      </w:r>
      <w:r>
        <w:rPr>
          <w:color w:val="000000"/>
          <w:sz w:val="28"/>
          <w:szCs w:val="28"/>
        </w:rPr>
        <w:t xml:space="preserve">«</w:t>
      </w:r>
      <w:r>
        <w:rPr>
          <w:color w:val="000000"/>
          <w:sz w:val="28"/>
          <w:szCs w:val="28"/>
        </w:rPr>
        <w:t xml:space="preserve">Об энергосбережении и о повышении энергетической эффективности и о внесении изменений в отдельные законодате</w:t>
      </w:r>
      <w:r>
        <w:rPr>
          <w:color w:val="000000"/>
          <w:sz w:val="28"/>
          <w:szCs w:val="28"/>
        </w:rPr>
        <w:t xml:space="preserve">льные акты Российской Федерации»</w:t>
      </w:r>
      <w:r>
        <w:rPr>
          <w:color w:val="000000"/>
          <w:sz w:val="28"/>
          <w:szCs w:val="28"/>
        </w:rPr>
        <w:t xml:space="preserve">, устанавливающим требования к проведению мероприятий по энергосбережению и повышению энергетической эффективности в многоквартирных домах и организациях коммунального комплекса.</w:t>
      </w:r>
    </w:p>
    <w:p>
      <w:pPr>
        <w:pStyle w:val="ConsPlusNormal"/>
        <w:jc w:val="both"/>
        <w:rPr>
          <w:color w:val="000000"/>
          <w:sz w:val="28"/>
          <w:szCs w:val="28"/>
        </w:rPr>
      </w:pPr>
    </w:p>
    <w:p>
      <w:pPr>
        <w:pStyle w:val="ConsPlusTitle"/>
        <w:jc w:val="center"/>
        <w:rPr>
          <w:b w:val="0"/>
          <w:sz w:val="28"/>
          <w:szCs w:val="28"/>
        </w:rPr>
      </w:pPr>
      <w:r>
        <w:rPr>
          <w:rFonts w:ascii="Times New Roman" w:hAnsi="Times New Roman"/>
          <w:b w:val="0"/>
          <w:color w:val="000000"/>
          <w:sz w:val="28"/>
          <w:szCs w:val="28"/>
        </w:rPr>
        <w:t xml:space="preserve">6</w:t>
      </w:r>
      <w:r>
        <w:rPr>
          <w:rFonts w:ascii="Times New Roman" w:hAnsi="Times New Roman"/>
          <w:b w:val="0"/>
          <w:color w:val="000000"/>
          <w:sz w:val="28"/>
          <w:szCs w:val="28"/>
        </w:rPr>
        <w:t xml:space="preserve">. Система управления реализацией Программы</w:t>
      </w:r>
    </w:p>
    <w:p>
      <w:pPr>
        <w:pStyle w:val="ConsPlusNormal"/>
        <w:jc w:val="both"/>
        <w:rPr>
          <w:color w:val="000000"/>
          <w:sz w:val="28"/>
          <w:szCs w:val="28"/>
        </w:rPr>
      </w:pPr>
    </w:p>
    <w:p>
      <w:pPr>
        <w:pStyle w:val="ConsPlusNormal"/>
        <w:ind w:firstLine="540"/>
        <w:jc w:val="both"/>
        <w:rPr>
          <w:sz w:val="28"/>
          <w:szCs w:val="28"/>
        </w:rPr>
      </w:pPr>
      <w:r>
        <w:rPr>
          <w:color w:val="000000"/>
          <w:sz w:val="28"/>
          <w:szCs w:val="28"/>
        </w:rPr>
        <w:t xml:space="preserve">Текущее управление реализацией и реализацию</w:t>
      </w:r>
      <w:r>
        <w:rPr>
          <w:color w:val="000000"/>
          <w:sz w:val="28"/>
          <w:szCs w:val="28"/>
        </w:rPr>
        <w:t xml:space="preserve"> Программы осуществляет комитет городского хозяйства администрации города Ставрополя.</w:t>
      </w:r>
    </w:p>
    <w:p>
      <w:pPr>
        <w:pStyle w:val="ConsPlusNormal"/>
        <w:ind w:firstLine="540"/>
        <w:jc w:val="both"/>
        <w:rPr>
          <w:sz w:val="28"/>
          <w:szCs w:val="28"/>
        </w:rPr>
      </w:pPr>
      <w:r>
        <w:rPr>
          <w:color w:val="000000"/>
          <w:sz w:val="28"/>
          <w:szCs w:val="28"/>
        </w:rPr>
        <w:t xml:space="preserve">Реализация Программы осуществляется в соответствии с детальным планом-графиком реализации Программы (далее - детальный план-график), </w:t>
      </w:r>
      <w:r>
        <w:rPr>
          <w:color w:val="000000"/>
          <w:sz w:val="28"/>
          <w:szCs w:val="28"/>
        </w:rPr>
        <w:t xml:space="preserve">содержащим перечень основных мероприятий Программы, контрольные события, детально характеризующие ход выполнения основных мероприятий Программы, с указанием фактической даты наступления контрольного события, данные об объемах финансирования основных мероприятий Программы и контрольных событий за счет всех источников финансирования, информацию об ответственном исполнителе, соисполнителях Программы, ответственных за реализацию основных мероприятий</w:t>
      </w:r>
      <w:r>
        <w:rPr>
          <w:color w:val="000000"/>
          <w:sz w:val="28"/>
          <w:szCs w:val="28"/>
        </w:rPr>
        <w:t xml:space="preserve"> Программы, контрольных событий</w:t>
      </w:r>
      <w:r>
        <w:rPr>
          <w:color w:val="000000"/>
          <w:sz w:val="28"/>
          <w:szCs w:val="28"/>
        </w:rPr>
        <w:t xml:space="preserve">,</w:t>
      </w:r>
      <w:r>
        <w:rPr>
          <w:color w:val="000000"/>
          <w:sz w:val="28"/>
          <w:szCs w:val="28"/>
        </w:rPr>
        <w:t xml:space="preserve"> с указанием фамилии, должности.</w:t>
      </w:r>
    </w:p>
    <w:p>
      <w:pPr>
        <w:pStyle w:val="ConsPlusNormal"/>
        <w:ind w:firstLine="540"/>
        <w:jc w:val="both"/>
        <w:rPr>
          <w:sz w:val="28"/>
          <w:szCs w:val="28"/>
        </w:rPr>
      </w:pPr>
      <w:r>
        <w:rPr>
          <w:color w:val="000000"/>
          <w:sz w:val="28"/>
          <w:szCs w:val="28"/>
        </w:rPr>
        <w:t xml:space="preserve">Комитет городского хозяйства администрации города Ставрополя совместно с соисполнителями Программы ежегодно разрабатывает детальный план-график и направляет его в комитет экономического развития и торговли администрации города Ставрополя на согласование не позднее </w:t>
      </w:r>
      <w:r>
        <w:rPr>
          <w:color w:val="000000"/>
          <w:sz w:val="28"/>
          <w:szCs w:val="28"/>
        </w:rPr>
        <w:t xml:space="preserve">              </w:t>
      </w:r>
      <w:r>
        <w:rPr>
          <w:color w:val="000000"/>
          <w:sz w:val="28"/>
          <w:szCs w:val="28"/>
        </w:rPr>
        <w:t xml:space="preserve">01 декабря года, предшествующего очередному финансовому году.</w:t>
      </w:r>
    </w:p>
    <w:p>
      <w:pPr>
        <w:pStyle w:val="ConsPlusNormal"/>
        <w:ind w:firstLine="540"/>
        <w:jc w:val="both"/>
        <w:rPr>
          <w:sz w:val="28"/>
          <w:szCs w:val="28"/>
        </w:rPr>
      </w:pPr>
      <w:r>
        <w:rPr>
          <w:color w:val="000000"/>
          <w:sz w:val="28"/>
          <w:szCs w:val="28"/>
        </w:rPr>
        <w:t xml:space="preserve">Детальный план-график, согласованный с комитетом экономического развития и торговли администрации города Ставрополя, утверждается ответственным исполнителем Программы ежегодно в срок до 31 декабря года, предшествующего очередному финансовому году.</w:t>
      </w:r>
    </w:p>
    <w:p>
      <w:pPr>
        <w:pStyle w:val="ConsPlusNormal"/>
        <w:ind w:firstLine="540"/>
        <w:jc w:val="both"/>
        <w:rPr>
          <w:sz w:val="28"/>
          <w:szCs w:val="28"/>
        </w:rPr>
      </w:pPr>
      <w:r>
        <w:rPr>
          <w:color w:val="000000"/>
          <w:sz w:val="28"/>
          <w:szCs w:val="28"/>
        </w:rPr>
        <w:t xml:space="preserve">Комитет городского хозяйства администрации города Ставрополя ежегодно до 15 февраля года, следующего за отчетным годом, представляет в комитет экономического развития и торговли администрации города Ставрополя сводный годовой отчет о ходе реализации и об оценке эффективности реализации Программы</w:t>
      </w:r>
      <w:r>
        <w:rPr>
          <w:color w:val="000000"/>
          <w:sz w:val="28"/>
          <w:szCs w:val="28"/>
        </w:rPr>
        <w:t xml:space="preserve">.</w:t>
      </w:r>
    </w:p>
    <w:p>
      <w:pPr>
        <w:pStyle w:val="ConsPlusNormal"/>
        <w:ind w:firstLine="540"/>
        <w:jc w:val="both"/>
        <w:rPr>
          <w:sz w:val="28"/>
          <w:szCs w:val="28"/>
        </w:rPr>
      </w:pPr>
      <w:r>
        <w:rPr>
          <w:color w:val="000000"/>
          <w:sz w:val="28"/>
          <w:szCs w:val="28"/>
        </w:rPr>
        <w:t xml:space="preserve">Мониторинг </w:t>
      </w:r>
      <w:r>
        <w:rPr>
          <w:color w:val="000000"/>
          <w:sz w:val="28"/>
          <w:szCs w:val="28"/>
        </w:rPr>
        <w:t xml:space="preserve">и контроль </w:t>
      </w:r>
      <w:r>
        <w:rPr>
          <w:color w:val="000000"/>
          <w:sz w:val="28"/>
          <w:szCs w:val="28"/>
        </w:rPr>
        <w:t xml:space="preserve">реализации Программы осуществляется в порядке, установленном правовым актом администрации города Ставрополя.</w:t>
      </w:r>
    </w:p>
    <w:p>
      <w:pPr>
        <w:pStyle w:val="ConsPlusNormal"/>
        <w:ind w:firstLine="540"/>
        <w:jc w:val="both"/>
        <w:rPr>
          <w:sz w:val="28"/>
          <w:szCs w:val="28"/>
        </w:rPr>
      </w:pPr>
      <w:hyperlink r:id="rId24" w:anchor="_blank" w:history="1">
        <w:r>
          <w:rPr>
            <w:rStyle w:val="ListLabel1"/>
            <w:color w:val="000000"/>
            <w:sz w:val="28"/>
            <w:szCs w:val="28"/>
          </w:rPr>
          <w:t xml:space="preserve">Сведения</w:t>
        </w:r>
      </w:hyperlink>
      <w:r>
        <w:rPr>
          <w:color w:val="000000"/>
          <w:sz w:val="28"/>
          <w:szCs w:val="28"/>
        </w:rPr>
        <w:t xml:space="preserve"> о составе и значениях показателей (индикаторов) достижения цели и показателей решения задач Программы приведены в приложении 2 к Программе.</w:t>
      </w:r>
    </w:p>
    <w:p>
      <w:pPr>
        <w:pStyle w:val="ConsPlusNormal"/>
        <w:ind w:firstLine="540"/>
        <w:jc w:val="both"/>
        <w:rPr>
          <w:sz w:val="28"/>
          <w:szCs w:val="28"/>
        </w:rPr>
      </w:pPr>
      <w:hyperlink r:id="rId25" w:anchor="_blank" w:history="1">
        <w:r>
          <w:rPr>
            <w:rStyle w:val="ListLabel1"/>
            <w:color w:val="000000"/>
            <w:sz w:val="28"/>
            <w:szCs w:val="28"/>
          </w:rPr>
          <w:t xml:space="preserve">Сведения</w:t>
        </w:r>
      </w:hyperlink>
      <w:r>
        <w:rPr>
          <w:color w:val="000000"/>
          <w:sz w:val="28"/>
          <w:szCs w:val="28"/>
        </w:rPr>
        <w:t xml:space="preserve"> о весовых коэффициентах, присвоенных цели и задачам Программы, приведены в</w:t>
      </w:r>
      <w:r>
        <w:rPr>
          <w:sz w:val="28"/>
          <w:szCs w:val="28"/>
        </w:rPr>
        <w:t xml:space="preserve"> приложении 3 к Программе.</w:t>
      </w:r>
    </w:p>
    <w:p>
      <w:pPr>
        <w:pStyle w:val="1"/>
        <w:spacing w:line="240" w:lineRule="exact"/>
        <w:rPr>
          <w:szCs w:val="28"/>
        </w:rPr>
      </w:pPr>
    </w:p>
    <w:p>
      <w:pPr>
        <w:pStyle w:val="1"/>
        <w:spacing w:line="240" w:lineRule="exact"/>
        <w:rPr>
          <w:szCs w:val="28"/>
        </w:rPr>
      </w:pPr>
    </w:p>
    <w:p/>
    <w:p>
      <w:pPr>
        <w:pStyle w:val="1"/>
        <w:spacing w:line="240" w:lineRule="exact"/>
        <w:rPr>
          <w:szCs w:val="28"/>
        </w:rPr>
      </w:pPr>
      <w:r>
        <w:rPr>
          <w:szCs w:val="28"/>
        </w:rPr>
        <w:t xml:space="preserve">З</w:t>
      </w:r>
      <w:r>
        <w:rPr>
          <w:szCs w:val="28"/>
        </w:rPr>
        <w:t xml:space="preserve">аместитель главы </w:t>
      </w:r>
    </w:p>
    <w:p>
      <w:pPr>
        <w:pStyle w:val="1"/>
        <w:spacing w:line="240" w:lineRule="exact"/>
        <w:rPr>
          <w:szCs w:val="28"/>
        </w:rPr>
        <w:sectPr>
          <w:pgSz w:w="11906" w:h="16838"/>
          <w:pgMar w:top="1418" w:right="567" w:bottom="851" w:left="1985" w:header="567" w:footer="0" w:gutter="0"/>
          <w:pgNumType w:start="1"/>
          <w:cols w:space="720"/>
          <w:docGrid w:linePitch="360"/>
          <w:titlePg/>
        </w:sectPr>
      </w:pPr>
      <w:r>
        <w:rPr>
          <w:szCs w:val="28"/>
        </w:rPr>
        <w:t xml:space="preserve">администрации города Став</w:t>
      </w:r>
      <w:r>
        <w:rPr>
          <w:szCs w:val="28"/>
        </w:rPr>
        <w:t xml:space="preserve">рополя</w:t>
      </w:r>
      <w:r>
        <w:rPr>
          <w:szCs w:val="28"/>
        </w:rPr>
        <w:tab/>
      </w:r>
      <w:r>
        <w:rPr>
          <w:szCs w:val="28"/>
        </w:rPr>
        <w:tab/>
      </w:r>
      <w:r>
        <w:rPr>
          <w:szCs w:val="28"/>
        </w:rPr>
        <w:tab/>
      </w:r>
      <w:r>
        <w:rPr>
          <w:szCs w:val="28"/>
        </w:rPr>
        <w:tab/>
      </w:r>
      <w:r>
        <w:rPr>
          <w:szCs w:val="28"/>
        </w:rPr>
        <w:tab/>
      </w:r>
      <w:r>
        <w:rPr>
          <w:szCs w:val="28"/>
        </w:rPr>
        <w:t xml:space="preserve">        В.В. </w:t>
      </w:r>
      <w:r>
        <w:rPr>
          <w:szCs w:val="28"/>
        </w:rPr>
        <w:t xml:space="preserve">Зритне</w:t>
      </w:r>
      <w:r>
        <w:rPr>
          <w:szCs w:val="28"/>
        </w:rPr>
        <w:t xml:space="preserve">в</w:t>
      </w:r>
    </w:p>
    <w:p>
      <w:pPr>
        <w:pStyle w:val="ConsPlusNormal"/>
        <w:spacing w:line="240" w:lineRule="exact"/>
        <w:rPr>
          <w:sz w:val="28"/>
          <w:szCs w:val="28"/>
        </w:rPr>
      </w:pPr>
    </w:p>
    <w:tbl>
      <w:tblPr>
        <w:tblW w:w="4285" w:type="dxa"/>
        <w:tblInd w:w="10173" w:type="dxa"/>
        <w:tblLook w:val="0000" w:firstRow="0" w:lastRow="0" w:firstColumn="0" w:lastColumn="0" w:noHBand="0" w:noVBand="0"/>
      </w:tblPr>
      <w:tblGrid>
        <w:gridCol w:w="4285"/>
      </w:tblGrid>
      <w:tr>
        <w:trPr>
          <w:trHeight w:val="1239"/>
        </w:trPr>
        <w:tc>
          <w:tcPr>
            <w:tcW w:w="4285" w:type="dxa"/>
          </w:tcPr>
          <w:p>
            <w:pPr>
              <w:pStyle w:val="ConsPlusNormal"/>
              <w:spacing w:line="240" w:lineRule="exact"/>
              <w:rPr>
                <w:sz w:val="28"/>
                <w:szCs w:val="28"/>
              </w:rPr>
            </w:pPr>
            <w:r>
              <w:rPr>
                <w:sz w:val="28"/>
                <w:szCs w:val="28"/>
              </w:rPr>
              <w:t xml:space="preserve">Приложение 1</w:t>
            </w:r>
          </w:p>
          <w:p>
            <w:pPr>
              <w:pStyle w:val="ConsPlusNormal"/>
              <w:spacing w:line="240" w:lineRule="exact"/>
              <w:rPr>
                <w:sz w:val="28"/>
                <w:szCs w:val="28"/>
              </w:rPr>
            </w:pPr>
          </w:p>
          <w:p>
            <w:pPr>
              <w:pStyle w:val="ConsPlusNormal"/>
              <w:spacing w:line="240" w:lineRule="exact"/>
              <w:rPr>
                <w:sz w:val="28"/>
                <w:szCs w:val="28"/>
              </w:rPr>
            </w:pPr>
            <w:r>
              <w:rPr>
                <w:sz w:val="28"/>
                <w:szCs w:val="28"/>
              </w:rPr>
              <w:t xml:space="preserve">к муниципальной программе</w:t>
            </w:r>
          </w:p>
          <w:p>
            <w:pPr>
              <w:pStyle w:val="ConsPlusNormal"/>
              <w:spacing w:line="240" w:lineRule="exact"/>
              <w:rPr>
                <w:sz w:val="28"/>
                <w:szCs w:val="28"/>
              </w:rPr>
            </w:pPr>
            <w:r>
              <w:rPr>
                <w:sz w:val="28"/>
                <w:szCs w:val="28"/>
              </w:rPr>
              <w:t xml:space="preserve">«Энергосбережение и повышение энергетической</w:t>
            </w:r>
            <w:r>
              <w:rPr>
                <w:sz w:val="28"/>
                <w:szCs w:val="28"/>
              </w:rPr>
              <w:t xml:space="preserve"> </w:t>
            </w:r>
            <w:r>
              <w:rPr>
                <w:sz w:val="28"/>
                <w:szCs w:val="28"/>
              </w:rPr>
              <w:t xml:space="preserve">эффективности </w:t>
            </w:r>
            <w:r>
              <w:rPr>
                <w:sz w:val="28"/>
                <w:szCs w:val="28"/>
              </w:rPr>
              <w:t xml:space="preserve">                                  </w:t>
            </w:r>
            <w:r>
              <w:rPr>
                <w:sz w:val="28"/>
                <w:szCs w:val="28"/>
              </w:rPr>
              <w:t xml:space="preserve">в городе Ста</w:t>
            </w:r>
            <w:bookmarkStart w:id="2" w:name="Par320"/>
            <w:bookmarkEnd w:id="2"/>
            <w:r>
              <w:rPr>
                <w:sz w:val="28"/>
                <w:szCs w:val="28"/>
              </w:rPr>
              <w:t xml:space="preserve">врополе»</w:t>
            </w:r>
          </w:p>
        </w:tc>
      </w:tr>
    </w:tbl>
    <w:p>
      <w:pPr>
        <w:pStyle w:val="ConsPlusNormal"/>
        <w:jc w:val="both"/>
        <w:rPr>
          <w:sz w:val="28"/>
          <w:szCs w:val="28"/>
        </w:rPr>
      </w:pPr>
    </w:p>
    <w:p>
      <w:pPr>
        <w:pStyle w:val="ConsPlusTitle"/>
        <w:spacing w:line="240" w:lineRule="exact"/>
        <w:jc w:val="center"/>
        <w:rPr>
          <w:rFonts w:ascii="Times New Roman" w:hAnsi="Times New Roman"/>
          <w:b w:val="0"/>
        </w:rPr>
      </w:pPr>
      <w:r>
        <w:rPr>
          <w:rFonts w:ascii="Times New Roman" w:hAnsi="Times New Roman"/>
          <w:b w:val="0"/>
        </w:rPr>
        <w:t xml:space="preserve">ПЕРЕЧЕНЬ</w:t>
      </w:r>
      <w:r>
        <w:rPr>
          <w:rFonts w:ascii="Times New Roman" w:hAnsi="Times New Roman"/>
          <w:b w:val="0"/>
        </w:rPr>
        <w:t xml:space="preserve"> </w:t>
      </w:r>
      <w:r>
        <w:rPr>
          <w:rFonts w:ascii="Times New Roman" w:hAnsi="Times New Roman"/>
          <w:b w:val="0"/>
        </w:rPr>
        <w:t xml:space="preserve">И ОБЩАЯ ХАРАКТЕРИСТИКА МЕРОПРИЯТИЙ </w:t>
      </w:r>
    </w:p>
    <w:p>
      <w:pPr>
        <w:pStyle w:val="ConsPlusTitle"/>
        <w:tabs>
          <w:tab w:val="center" w:pos="6979"/>
          <w:tab w:val="right" w:pos="13958"/>
        </w:tabs>
        <w:spacing w:line="240" w:lineRule="exact"/>
        <w:rPr>
          <w:rFonts w:ascii="Times New Roman" w:hAnsi="Times New Roman"/>
          <w:b w:val="0"/>
        </w:rPr>
      </w:pPr>
      <w:r>
        <w:rPr>
          <w:rFonts w:ascii="Times New Roman" w:hAnsi="Times New Roman"/>
          <w:b w:val="0"/>
        </w:rPr>
        <w:tab/>
      </w:r>
      <w:r>
        <w:rPr>
          <w:rFonts w:ascii="Times New Roman" w:hAnsi="Times New Roman"/>
          <w:b w:val="0"/>
        </w:rPr>
        <w:t xml:space="preserve">муниципальной программы</w:t>
      </w:r>
      <w:r>
        <w:rPr>
          <w:rFonts w:ascii="Times New Roman" w:hAnsi="Times New Roman"/>
          <w:b w:val="0"/>
        </w:rPr>
        <w:t xml:space="preserve"> </w:t>
      </w:r>
      <w:r>
        <w:rPr>
          <w:rFonts w:ascii="Times New Roman" w:hAnsi="Times New Roman"/>
          <w:b w:val="0"/>
        </w:rPr>
        <w:t xml:space="preserve">«</w:t>
      </w:r>
      <w:r>
        <w:rPr>
          <w:rFonts w:ascii="Times New Roman" w:hAnsi="Times New Roman"/>
          <w:b w:val="0"/>
        </w:rPr>
        <w:t xml:space="preserve">Э</w:t>
      </w:r>
      <w:r>
        <w:rPr>
          <w:rFonts w:ascii="Times New Roman" w:hAnsi="Times New Roman"/>
          <w:b w:val="0"/>
        </w:rPr>
        <w:t xml:space="preserve">нергосбережение и повышение энергетической эффективности</w:t>
      </w:r>
      <w:r>
        <w:rPr>
          <w:rFonts w:ascii="Times New Roman" w:hAnsi="Times New Roman"/>
          <w:b w:val="0"/>
        </w:rPr>
        <w:t xml:space="preserve"> </w:t>
      </w:r>
      <w:r>
        <w:rPr>
          <w:rFonts w:ascii="Times New Roman" w:hAnsi="Times New Roman"/>
          <w:b w:val="0"/>
        </w:rPr>
        <w:t xml:space="preserve">в городе </w:t>
      </w:r>
      <w:r>
        <w:rPr>
          <w:rFonts w:ascii="Times New Roman" w:hAnsi="Times New Roman"/>
          <w:b w:val="0"/>
        </w:rPr>
        <w:t xml:space="preserve">С</w:t>
      </w:r>
      <w:r>
        <w:rPr>
          <w:rFonts w:ascii="Times New Roman" w:hAnsi="Times New Roman"/>
          <w:b w:val="0"/>
        </w:rPr>
        <w:t xml:space="preserve">таврополе»</w:t>
      </w:r>
    </w:p>
    <w:p>
      <w:pPr>
        <w:pStyle w:val="ConsPlusNormal"/>
        <w:tabs>
          <w:tab w:val="left" w:pos="1139"/>
        </w:tabs>
        <w:spacing w:line="240" w:lineRule="exact"/>
      </w:pPr>
    </w:p>
    <w:tbl>
      <w:tblPr>
        <w:tblW w:w="16160" w:type="dxa"/>
        <w:tblInd w:w="-1026" w:type="dxa"/>
        <w:tblLayout w:type="fixed"/>
        <w:tblLook w:val="04A0" w:firstRow="1" w:lastRow="0" w:firstColumn="1" w:lastColumn="0" w:noHBand="0" w:noVBand="1"/>
      </w:tblPr>
      <w:tblGrid>
        <w:gridCol w:w="567"/>
        <w:gridCol w:w="2268"/>
        <w:gridCol w:w="2694"/>
        <w:gridCol w:w="992"/>
        <w:gridCol w:w="2126"/>
        <w:gridCol w:w="968"/>
        <w:gridCol w:w="969"/>
        <w:gridCol w:w="969"/>
        <w:gridCol w:w="968"/>
        <w:gridCol w:w="969"/>
        <w:gridCol w:w="969"/>
        <w:gridCol w:w="1701"/>
      </w:tblGrid>
      <w:tr>
        <w:trPr>
          <w:trHeight w:val="558"/>
        </w:trPr>
        <w:tc>
          <w:tcPr>
            <w:tcW w:w="567" w:type="dxa"/>
            <w:vMerge w:val="restart"/>
            <w:tcBorders>
              <w:top w:val="single" w:color="000000" w:sz="4" w:space="0"/>
              <w:left w:val="single" w:color="000000" w:sz="4" w:space="0"/>
              <w:bottom w:val="none"/>
              <w:right w:val="none"/>
            </w:tcBorders>
            <w:hideMark/>
          </w:tcPr>
          <w:p>
            <w:pPr>
              <w:widowControl w:val="off"/>
              <w:spacing w:after="0" w:line="240" w:lineRule="auto"/>
              <w:jc w:val="center"/>
              <w:rPr>
                <w:rFonts w:ascii="Times New Roman" w:hAnsi="Times New Roman"/>
                <w:sz w:val="20"/>
                <w:szCs w:val="20"/>
                <w:lang w:eastAsia="ar-SA"/>
              </w:rPr>
            </w:pPr>
            <w:r>
              <w:rPr>
                <w:rFonts w:ascii="Times New Roman" w:hAnsi="Times New Roman"/>
                <w:sz w:val="20"/>
                <w:szCs w:val="20"/>
                <w:lang w:eastAsia="ar-SA"/>
              </w:rPr>
              <w:t xml:space="preserve">№</w:t>
            </w:r>
          </w:p>
          <w:p>
            <w:pPr>
              <w:widowControl w:val="off"/>
              <w:spacing w:after="0" w:line="240" w:lineRule="auto"/>
              <w:jc w:val="center"/>
              <w:rPr>
                <w:rFonts w:ascii="Times New Roman" w:hAnsi="Times New Roman"/>
                <w:sz w:val="18"/>
                <w:szCs w:val="18"/>
                <w:lang w:eastAsia="ar-SA"/>
              </w:rPr>
            </w:pPr>
            <w:r>
              <w:rPr>
                <w:rFonts w:ascii="Times New Roman" w:hAnsi="Times New Roman"/>
                <w:sz w:val="18"/>
                <w:szCs w:val="18"/>
                <w:lang w:eastAsia="ar-SA"/>
              </w:rPr>
              <w:t xml:space="preserve">п</w:t>
            </w:r>
            <w:r>
              <w:rPr>
                <w:rFonts w:ascii="Times New Roman" w:hAnsi="Times New Roman"/>
                <w:sz w:val="18"/>
                <w:szCs w:val="18"/>
                <w:lang w:eastAsia="ar-SA"/>
              </w:rPr>
              <w:t xml:space="preserve">/</w:t>
            </w:r>
            <w:r>
              <w:rPr>
                <w:rFonts w:ascii="Times New Roman" w:hAnsi="Times New Roman"/>
                <w:sz w:val="18"/>
                <w:szCs w:val="18"/>
                <w:lang w:eastAsia="ar-SA"/>
              </w:rPr>
              <w:t xml:space="preserve">п</w:t>
            </w:r>
          </w:p>
        </w:tc>
        <w:tc>
          <w:tcPr>
            <w:tcW w:w="2268" w:type="dxa"/>
            <w:vMerge w:val="restart"/>
            <w:tcBorders>
              <w:top w:val="single" w:color="000000" w:sz="4" w:space="0"/>
              <w:left w:val="single" w:color="000000" w:sz="4" w:space="0"/>
              <w:bottom w:val="none"/>
              <w:right w:val="none"/>
            </w:tcBorders>
            <w:hideMark/>
          </w:tcPr>
          <w:p>
            <w:pPr>
              <w:widowControl w:val="off"/>
              <w:spacing w:after="0" w:line="240" w:lineRule="auto"/>
              <w:jc w:val="center"/>
              <w:rPr>
                <w:rFonts w:ascii="Times New Roman" w:hAnsi="Times New Roman"/>
                <w:sz w:val="20"/>
                <w:szCs w:val="20"/>
                <w:lang w:eastAsia="ar-SA"/>
              </w:rPr>
            </w:pPr>
            <w:r>
              <w:rPr>
                <w:rFonts w:ascii="Times New Roman" w:hAnsi="Times New Roman"/>
                <w:sz w:val="20"/>
                <w:szCs w:val="20"/>
                <w:lang w:eastAsia="ar-SA"/>
              </w:rPr>
              <w:t xml:space="preserve">Наименование</w:t>
            </w:r>
          </w:p>
          <w:p>
            <w:pPr>
              <w:widowControl w:val="off"/>
              <w:spacing w:after="0" w:line="240" w:lineRule="auto"/>
              <w:jc w:val="center"/>
              <w:rPr>
                <w:rFonts w:ascii="Times New Roman" w:hAnsi="Times New Roman"/>
                <w:sz w:val="20"/>
                <w:szCs w:val="20"/>
                <w:lang w:eastAsia="ar-SA"/>
              </w:rPr>
            </w:pPr>
            <w:r>
              <w:rPr>
                <w:rFonts w:ascii="Times New Roman" w:hAnsi="Times New Roman"/>
                <w:sz w:val="20"/>
                <w:szCs w:val="20"/>
                <w:lang w:eastAsia="ar-SA"/>
              </w:rPr>
              <w:t xml:space="preserve">основного мероприятия (мероприятия)</w:t>
            </w:r>
          </w:p>
        </w:tc>
        <w:tc>
          <w:tcPr>
            <w:tcW w:w="2694" w:type="dxa"/>
            <w:vMerge w:val="restart"/>
            <w:tcBorders>
              <w:top w:val="single" w:color="000000" w:sz="4" w:space="0"/>
              <w:left w:val="single" w:color="000000" w:sz="4" w:space="0"/>
              <w:bottom w:val="none"/>
              <w:right w:val="none"/>
            </w:tcBorders>
            <w:hideMark/>
          </w:tcPr>
          <w:p>
            <w:pPr>
              <w:widowControl w:val="off"/>
              <w:spacing w:after="0" w:line="240" w:lineRule="auto"/>
              <w:jc w:val="center"/>
              <w:rPr>
                <w:rFonts w:ascii="Times New Roman" w:hAnsi="Times New Roman"/>
                <w:sz w:val="20"/>
                <w:szCs w:val="20"/>
                <w:lang w:eastAsia="ar-SA"/>
              </w:rPr>
            </w:pPr>
            <w:r>
              <w:rPr>
                <w:rFonts w:ascii="Times New Roman" w:hAnsi="Times New Roman"/>
                <w:sz w:val="20"/>
                <w:szCs w:val="20"/>
                <w:lang w:eastAsia="ar-SA"/>
              </w:rPr>
              <w:t xml:space="preserve">Ответственный исполнитель, соисполни</w:t>
            </w:r>
            <w:r>
              <w:rPr>
                <w:rFonts w:ascii="Times New Roman" w:hAnsi="Times New Roman"/>
                <w:sz w:val="20"/>
                <w:szCs w:val="20"/>
                <w:lang w:eastAsia="ar-SA"/>
              </w:rPr>
              <w:t xml:space="preserve">т</w:t>
            </w:r>
            <w:r>
              <w:rPr>
                <w:rFonts w:ascii="Times New Roman" w:hAnsi="Times New Roman"/>
                <w:sz w:val="20"/>
                <w:szCs w:val="20"/>
                <w:lang w:eastAsia="ar-SA"/>
              </w:rPr>
              <w:t xml:space="preserve">ели </w:t>
            </w:r>
          </w:p>
        </w:tc>
        <w:tc>
          <w:tcPr>
            <w:tcW w:w="992" w:type="dxa"/>
            <w:vMerge w:val="restart"/>
            <w:tcBorders>
              <w:top w:val="single" w:color="000000" w:sz="4" w:space="0"/>
              <w:left w:val="single" w:color="000000" w:sz="4" w:space="0"/>
              <w:bottom w:val="none"/>
              <w:right w:val="none"/>
            </w:tcBorders>
          </w:tcPr>
          <w:p>
            <w:pPr>
              <w:widowControl w:val="off"/>
              <w:spacing w:after="0" w:line="240" w:lineRule="auto"/>
              <w:jc w:val="center"/>
              <w:rPr>
                <w:rFonts w:ascii="Times New Roman" w:hAnsi="Times New Roman"/>
                <w:sz w:val="20"/>
                <w:szCs w:val="20"/>
                <w:lang w:eastAsia="ar-SA"/>
              </w:rPr>
            </w:pPr>
            <w:r>
              <w:rPr>
                <w:rFonts w:ascii="Times New Roman" w:hAnsi="Times New Roman"/>
                <w:sz w:val="20"/>
                <w:szCs w:val="20"/>
                <w:lang w:eastAsia="ar-SA"/>
              </w:rPr>
              <w:t xml:space="preserve">Срок исполне</w:t>
            </w:r>
            <w:r>
              <w:rPr>
                <w:rFonts w:ascii="Times New Roman" w:hAnsi="Times New Roman"/>
                <w:sz w:val="20"/>
                <w:szCs w:val="20"/>
                <w:lang w:eastAsia="ar-SA"/>
              </w:rPr>
              <w:t xml:space="preserve">ния</w:t>
            </w:r>
          </w:p>
          <w:p>
            <w:pPr>
              <w:widowControl w:val="off"/>
              <w:spacing w:after="0" w:line="240" w:lineRule="auto"/>
              <w:jc w:val="center"/>
              <w:rPr>
                <w:rFonts w:ascii="Times New Roman" w:hAnsi="Times New Roman"/>
                <w:sz w:val="20"/>
                <w:szCs w:val="20"/>
                <w:lang w:eastAsia="ar-SA"/>
              </w:rPr>
            </w:pPr>
            <w:r>
              <w:rPr>
                <w:rFonts w:ascii="Times New Roman" w:hAnsi="Times New Roman"/>
                <w:sz w:val="20"/>
                <w:szCs w:val="20"/>
                <w:lang w:eastAsia="ar-SA"/>
              </w:rPr>
              <w:t xml:space="preserve">(г</w:t>
            </w:r>
            <w:r>
              <w:rPr>
                <w:rFonts w:ascii="Times New Roman" w:hAnsi="Times New Roman"/>
                <w:sz w:val="20"/>
                <w:szCs w:val="20"/>
                <w:lang w:eastAsia="ar-SA"/>
              </w:rPr>
              <w:t xml:space="preserve">оды)</w:t>
            </w:r>
          </w:p>
        </w:tc>
        <w:tc>
          <w:tcPr>
            <w:tcW w:w="2126" w:type="dxa"/>
            <w:vMerge w:val="restart"/>
            <w:tcBorders>
              <w:top w:val="single" w:color="000000" w:sz="4" w:space="0"/>
              <w:left w:val="single" w:color="000000" w:sz="4" w:space="0"/>
              <w:bottom w:val="none"/>
              <w:right w:val="none"/>
            </w:tcBorders>
            <w:hideMark/>
          </w:tcPr>
          <w:p>
            <w:pPr>
              <w:widowControl w:val="off"/>
              <w:spacing w:after="0" w:line="240" w:lineRule="auto"/>
              <w:jc w:val="center"/>
              <w:rPr>
                <w:rFonts w:ascii="Times New Roman" w:hAnsi="Times New Roman"/>
                <w:sz w:val="20"/>
                <w:szCs w:val="20"/>
                <w:lang w:eastAsia="ar-SA"/>
              </w:rPr>
            </w:pPr>
            <w:r>
              <w:rPr>
                <w:rFonts w:ascii="Times New Roman" w:hAnsi="Times New Roman"/>
                <w:sz w:val="20"/>
                <w:szCs w:val="20"/>
                <w:lang w:eastAsia="ar-SA"/>
              </w:rPr>
              <w:t xml:space="preserve">Обоснование выделения основного мероприятия (мероприятия)</w:t>
            </w:r>
          </w:p>
        </w:tc>
        <w:tc>
          <w:tcPr>
            <w:tcW w:w="5812" w:type="dxa"/>
            <w:gridSpan w:val="6"/>
            <w:tcBorders>
              <w:top w:val="single" w:color="000000" w:sz="4" w:space="0"/>
              <w:left w:val="single" w:color="000000" w:sz="4" w:space="0"/>
              <w:right w:val="single" w:color="000000" w:sz="4" w:space="0"/>
            </w:tcBorders>
            <w:hideMark/>
          </w:tcPr>
          <w:p>
            <w:pPr>
              <w:widowControl w:val="off"/>
              <w:spacing w:after="0" w:line="240" w:lineRule="auto"/>
              <w:ind w:right="-108"/>
              <w:jc w:val="center"/>
              <w:rPr>
                <w:rFonts w:ascii="Times New Roman" w:hAnsi="Times New Roman"/>
                <w:sz w:val="20"/>
                <w:szCs w:val="20"/>
                <w:lang w:eastAsia="ar-SA"/>
              </w:rPr>
            </w:pPr>
            <w:r>
              <w:rPr>
                <w:rFonts w:ascii="Times New Roman" w:hAnsi="Times New Roman"/>
                <w:sz w:val="20"/>
                <w:szCs w:val="20"/>
                <w:lang w:eastAsia="ar-SA"/>
              </w:rPr>
              <w:t xml:space="preserve">Объем и источники финансирования (тыс. рублей), в том числе </w:t>
            </w:r>
          </w:p>
          <w:p>
            <w:pPr>
              <w:widowControl w:val="off"/>
              <w:spacing w:after="0" w:line="240" w:lineRule="auto"/>
              <w:ind w:right="-108"/>
              <w:jc w:val="center"/>
              <w:rPr>
                <w:rFonts w:ascii="Times New Roman" w:hAnsi="Times New Roman"/>
                <w:sz w:val="20"/>
                <w:szCs w:val="20"/>
                <w:lang w:eastAsia="ar-SA"/>
              </w:rPr>
            </w:pPr>
            <w:r>
              <w:rPr>
                <w:rFonts w:ascii="Times New Roman" w:hAnsi="Times New Roman"/>
                <w:sz w:val="20"/>
                <w:szCs w:val="20"/>
                <w:lang w:eastAsia="ar-SA"/>
              </w:rPr>
              <w:t xml:space="preserve">по годам:</w:t>
            </w:r>
          </w:p>
        </w:tc>
        <w:tc>
          <w:tcPr>
            <w:tcW w:w="1701" w:type="dxa"/>
            <w:vMerge w:val="restart"/>
            <w:tcBorders>
              <w:top w:val="single" w:color="000000" w:sz="4" w:space="0"/>
              <w:left w:val="single" w:color="000000" w:sz="4" w:space="0"/>
              <w:right w:val="single" w:color="000000" w:sz="4" w:space="0"/>
            </w:tcBorders>
          </w:tcPr>
          <w:p>
            <w:pPr>
              <w:widowControl w:val="off"/>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 xml:space="preserve">Взаимосвязь с показателями (индикаторами) Программы</w:t>
            </w:r>
          </w:p>
        </w:tc>
      </w:tr>
      <w:tr>
        <w:trPr>
          <w:trHeight w:val="508"/>
        </w:trPr>
        <w:tc>
          <w:tcPr>
            <w:tcW w:w="567" w:type="dxa"/>
            <w:vMerge w:val="continue"/>
            <w:tcBorders>
              <w:top w:val="single" w:color="000000" w:sz="4" w:space="0"/>
              <w:left w:val="single" w:color="000000" w:sz="4" w:space="0"/>
              <w:bottom w:val="none"/>
              <w:right w:val="none"/>
            </w:tcBorders>
            <w:vAlign w:val="center"/>
            <w:hideMark/>
          </w:tcPr>
          <w:p>
            <w:pPr>
              <w:spacing w:after="0" w:line="240" w:lineRule="auto"/>
              <w:jc w:val="center"/>
              <w:rPr>
                <w:rFonts w:ascii="Times New Roman" w:hAnsi="Times New Roman"/>
                <w:sz w:val="20"/>
                <w:szCs w:val="20"/>
                <w:lang w:eastAsia="ar-SA"/>
              </w:rPr>
            </w:pPr>
          </w:p>
        </w:tc>
        <w:tc>
          <w:tcPr>
            <w:tcW w:w="2268" w:type="dxa"/>
            <w:vMerge w:val="continue"/>
            <w:tcBorders>
              <w:top w:val="single" w:color="000000" w:sz="4" w:space="0"/>
              <w:left w:val="single" w:color="000000" w:sz="4" w:space="0"/>
              <w:bottom w:val="none"/>
              <w:right w:val="none"/>
            </w:tcBorders>
            <w:vAlign w:val="center"/>
            <w:hideMark/>
          </w:tcPr>
          <w:p>
            <w:pPr>
              <w:spacing w:after="0" w:line="240" w:lineRule="auto"/>
              <w:jc w:val="center"/>
              <w:rPr>
                <w:rFonts w:ascii="Times New Roman" w:hAnsi="Times New Roman"/>
                <w:sz w:val="20"/>
                <w:szCs w:val="20"/>
                <w:lang w:eastAsia="ar-SA"/>
              </w:rPr>
            </w:pPr>
          </w:p>
        </w:tc>
        <w:tc>
          <w:tcPr>
            <w:tcW w:w="2694" w:type="dxa"/>
            <w:vMerge w:val="continue"/>
            <w:tcBorders>
              <w:top w:val="single" w:color="000000" w:sz="4" w:space="0"/>
              <w:left w:val="single" w:color="000000" w:sz="4" w:space="0"/>
              <w:bottom w:val="none"/>
              <w:right w:val="none"/>
            </w:tcBorders>
            <w:vAlign w:val="center"/>
            <w:hideMark/>
          </w:tcPr>
          <w:p>
            <w:pPr>
              <w:spacing w:after="0" w:line="240" w:lineRule="auto"/>
              <w:jc w:val="center"/>
              <w:rPr>
                <w:rFonts w:ascii="Times New Roman" w:hAnsi="Times New Roman"/>
                <w:sz w:val="20"/>
                <w:szCs w:val="20"/>
                <w:lang w:eastAsia="ar-SA"/>
              </w:rPr>
            </w:pPr>
          </w:p>
        </w:tc>
        <w:tc>
          <w:tcPr>
            <w:tcW w:w="992" w:type="dxa"/>
            <w:vMerge w:val="continue"/>
            <w:tcBorders>
              <w:top w:val="single" w:color="000000" w:sz="4" w:space="0"/>
              <w:left w:val="single" w:color="000000" w:sz="4" w:space="0"/>
              <w:bottom w:val="none"/>
              <w:right w:val="none"/>
            </w:tcBorders>
            <w:vAlign w:val="center"/>
            <w:hideMark/>
          </w:tcPr>
          <w:p>
            <w:pPr>
              <w:spacing w:after="0" w:line="240" w:lineRule="auto"/>
              <w:jc w:val="center"/>
              <w:rPr>
                <w:rFonts w:ascii="Times New Roman" w:hAnsi="Times New Roman"/>
                <w:sz w:val="20"/>
                <w:szCs w:val="20"/>
                <w:lang w:eastAsia="ar-SA"/>
              </w:rPr>
            </w:pPr>
          </w:p>
        </w:tc>
        <w:tc>
          <w:tcPr>
            <w:tcW w:w="2126" w:type="dxa"/>
            <w:vMerge w:val="continue"/>
            <w:tcBorders>
              <w:top w:val="single" w:color="000000" w:sz="4" w:space="0"/>
              <w:left w:val="single" w:color="000000" w:sz="4" w:space="0"/>
              <w:bottom w:val="none"/>
              <w:right w:val="none"/>
            </w:tcBorders>
            <w:vAlign w:val="center"/>
            <w:hideMark/>
          </w:tcPr>
          <w:p>
            <w:pPr>
              <w:spacing w:after="0" w:line="240" w:lineRule="auto"/>
              <w:jc w:val="center"/>
              <w:rPr>
                <w:rFonts w:ascii="Times New Roman" w:hAnsi="Times New Roman"/>
                <w:sz w:val="20"/>
                <w:szCs w:val="20"/>
                <w:lang w:eastAsia="ar-SA"/>
              </w:rPr>
            </w:pPr>
          </w:p>
        </w:tc>
        <w:tc>
          <w:tcPr>
            <w:tcW w:w="968" w:type="dxa"/>
            <w:tcBorders>
              <w:top w:val="single" w:color="000000" w:sz="4" w:space="0"/>
              <w:left w:val="single" w:color="000000" w:sz="4" w:space="0"/>
              <w:bottom w:val="none"/>
              <w:right w:val="none"/>
            </w:tcBorders>
            <w:hideMark/>
          </w:tcPr>
          <w:p>
            <w:pPr>
              <w:widowControl w:val="off"/>
              <w:spacing w:after="0" w:line="240" w:lineRule="auto"/>
              <w:jc w:val="center"/>
              <w:rPr>
                <w:rFonts w:ascii="Times New Roman" w:hAnsi="Times New Roman"/>
                <w:sz w:val="20"/>
                <w:szCs w:val="20"/>
                <w:lang w:eastAsia="ar-SA"/>
              </w:rPr>
            </w:pPr>
            <w:r>
              <w:rPr>
                <w:rFonts w:ascii="Times New Roman" w:hAnsi="Times New Roman"/>
                <w:sz w:val="20"/>
                <w:szCs w:val="20"/>
                <w:lang w:eastAsia="ar-SA"/>
              </w:rPr>
              <w:t xml:space="preserve">2023</w:t>
            </w:r>
          </w:p>
        </w:tc>
        <w:tc>
          <w:tcPr>
            <w:tcW w:w="969" w:type="dxa"/>
            <w:tcBorders>
              <w:top w:val="single" w:color="000000" w:sz="4" w:space="0"/>
              <w:left w:val="single" w:color="000000" w:sz="4" w:space="0"/>
              <w:bottom w:val="none"/>
              <w:right w:val="none"/>
            </w:tcBorders>
            <w:hideMark/>
          </w:tcPr>
          <w:p>
            <w:pPr>
              <w:widowControl w:val="off"/>
              <w:spacing w:after="0" w:line="240" w:lineRule="auto"/>
              <w:jc w:val="center"/>
              <w:rPr>
                <w:rFonts w:ascii="Times New Roman" w:hAnsi="Times New Roman"/>
                <w:sz w:val="20"/>
                <w:szCs w:val="20"/>
                <w:lang w:eastAsia="ar-SA"/>
              </w:rPr>
            </w:pPr>
            <w:r>
              <w:rPr>
                <w:rFonts w:ascii="Times New Roman" w:hAnsi="Times New Roman"/>
                <w:sz w:val="20"/>
                <w:szCs w:val="20"/>
                <w:lang w:eastAsia="ar-SA"/>
              </w:rPr>
              <w:t xml:space="preserve">2024</w:t>
            </w:r>
          </w:p>
        </w:tc>
        <w:tc>
          <w:tcPr>
            <w:tcW w:w="969" w:type="dxa"/>
            <w:tcBorders>
              <w:top w:val="single" w:color="000000" w:sz="4" w:space="0"/>
              <w:left w:val="single" w:color="000000" w:sz="4" w:space="0"/>
              <w:bottom w:val="none"/>
              <w:right w:val="single" w:color="000000" w:sz="4" w:space="0"/>
            </w:tcBorders>
            <w:hideMark/>
          </w:tcPr>
          <w:p>
            <w:pPr>
              <w:widowControl w:val="off"/>
              <w:spacing w:after="0" w:line="240" w:lineRule="auto"/>
              <w:jc w:val="center"/>
              <w:rPr>
                <w:rFonts w:ascii="Times New Roman" w:hAnsi="Times New Roman"/>
                <w:sz w:val="20"/>
                <w:szCs w:val="20"/>
                <w:lang w:eastAsia="ar-SA"/>
              </w:rPr>
            </w:pPr>
            <w:r>
              <w:rPr>
                <w:rFonts w:ascii="Times New Roman" w:hAnsi="Times New Roman"/>
                <w:sz w:val="20"/>
                <w:szCs w:val="20"/>
                <w:lang w:eastAsia="ar-SA"/>
              </w:rPr>
              <w:t xml:space="preserve">2025</w:t>
            </w:r>
          </w:p>
        </w:tc>
        <w:tc>
          <w:tcPr>
            <w:tcW w:w="968" w:type="dxa"/>
            <w:tcBorders>
              <w:top w:val="single" w:color="000000" w:sz="4" w:space="0"/>
              <w:left w:val="single" w:color="000000" w:sz="4" w:space="0"/>
              <w:bottom w:val="none"/>
              <w:right w:val="single" w:color="000000" w:sz="4" w:space="0"/>
            </w:tcBorders>
            <w:hideMark/>
          </w:tcPr>
          <w:p>
            <w:pPr>
              <w:widowControl w:val="off"/>
              <w:spacing w:after="0" w:line="240" w:lineRule="auto"/>
              <w:jc w:val="center"/>
              <w:rPr>
                <w:rFonts w:ascii="Times New Roman" w:hAnsi="Times New Roman"/>
                <w:sz w:val="20"/>
                <w:szCs w:val="20"/>
                <w:lang w:eastAsia="ar-SA"/>
              </w:rPr>
            </w:pPr>
            <w:r>
              <w:rPr>
                <w:rFonts w:ascii="Times New Roman" w:hAnsi="Times New Roman"/>
                <w:sz w:val="20"/>
                <w:szCs w:val="20"/>
                <w:lang w:eastAsia="ar-SA"/>
              </w:rPr>
              <w:t xml:space="preserve">2026</w:t>
            </w:r>
          </w:p>
        </w:tc>
        <w:tc>
          <w:tcPr>
            <w:tcW w:w="969" w:type="dxa"/>
            <w:tcBorders>
              <w:top w:val="single" w:color="000000" w:sz="4" w:space="0"/>
              <w:left w:val="single" w:color="000000" w:sz="4" w:space="0"/>
              <w:bottom w:val="none"/>
              <w:right w:val="single" w:color="000000" w:sz="4" w:space="0"/>
            </w:tcBorders>
          </w:tcPr>
          <w:p>
            <w:pPr>
              <w:spacing w:after="0" w:line="240" w:lineRule="auto"/>
              <w:jc w:val="center"/>
              <w:rPr>
                <w:rFonts w:ascii="Times New Roman" w:hAnsi="Times New Roman"/>
                <w:sz w:val="20"/>
                <w:szCs w:val="20"/>
                <w:lang w:eastAsia="ar-SA"/>
              </w:rPr>
            </w:pPr>
            <w:r>
              <w:rPr>
                <w:rFonts w:ascii="Times New Roman" w:hAnsi="Times New Roman"/>
                <w:sz w:val="20"/>
                <w:szCs w:val="20"/>
                <w:lang w:eastAsia="ar-SA"/>
              </w:rPr>
              <w:t xml:space="preserve">2027</w:t>
            </w:r>
          </w:p>
        </w:tc>
        <w:tc>
          <w:tcPr>
            <w:tcW w:w="969" w:type="dxa"/>
            <w:tcBorders>
              <w:top w:val="single" w:color="000000" w:sz="4" w:space="0"/>
              <w:left w:val="single" w:color="000000" w:sz="4" w:space="0"/>
              <w:bottom w:val="none"/>
              <w:right w:val="single" w:color="000000" w:sz="4" w:space="0"/>
            </w:tcBorders>
          </w:tcPr>
          <w:p>
            <w:pPr>
              <w:spacing w:after="0" w:line="240" w:lineRule="auto"/>
              <w:jc w:val="center"/>
              <w:rPr>
                <w:rFonts w:ascii="Times New Roman" w:hAnsi="Times New Roman"/>
                <w:sz w:val="20"/>
                <w:szCs w:val="20"/>
                <w:lang w:eastAsia="ar-SA"/>
              </w:rPr>
            </w:pPr>
            <w:r>
              <w:rPr>
                <w:rFonts w:ascii="Times New Roman" w:hAnsi="Times New Roman"/>
                <w:sz w:val="20"/>
                <w:szCs w:val="20"/>
                <w:lang w:eastAsia="ar-SA"/>
              </w:rPr>
              <w:t xml:space="preserve">2028</w:t>
            </w:r>
          </w:p>
        </w:tc>
        <w:tc>
          <w:tcPr>
            <w:tcW w:w="1701" w:type="dxa"/>
            <w:vMerge w:val="continue"/>
            <w:tcBorders>
              <w:left w:val="single" w:color="000000" w:sz="4" w:space="0"/>
              <w:bottom w:val="none"/>
              <w:right w:val="single" w:color="000000" w:sz="4" w:space="0"/>
            </w:tcBorders>
          </w:tcPr>
          <w:p>
            <w:pPr>
              <w:widowControl w:val="off"/>
              <w:spacing w:after="0" w:line="240" w:lineRule="auto"/>
              <w:ind w:right="-108"/>
              <w:jc w:val="center"/>
              <w:rPr>
                <w:rFonts w:ascii="Times New Roman" w:hAnsi="Times New Roman"/>
                <w:sz w:val="20"/>
                <w:szCs w:val="20"/>
                <w:lang w:eastAsia="ar-SA"/>
              </w:rPr>
            </w:pPr>
          </w:p>
        </w:tc>
      </w:tr>
    </w:tbl>
    <w:p>
      <w:pPr>
        <w:spacing w:after="0" w:line="240" w:lineRule="auto"/>
        <w:ind w:left="6299"/>
        <w:jc w:val="center"/>
        <w:rPr>
          <w:rFonts w:ascii="Times New Roman" w:hAnsi="Times New Roman"/>
          <w:sz w:val="8"/>
          <w:szCs w:val="28"/>
        </w:rPr>
      </w:pPr>
    </w:p>
    <w:tbl>
      <w:tblPr>
        <w:tblW w:w="16160" w:type="dxa"/>
        <w:tblInd w:w="-1026" w:type="dxa"/>
        <w:tblLayout w:type="fixed"/>
        <w:tblLook w:val="04A0" w:firstRow="1" w:lastRow="0" w:firstColumn="1" w:lastColumn="0" w:noHBand="0" w:noVBand="1"/>
      </w:tblPr>
      <w:tblGrid>
        <w:gridCol w:w="567"/>
        <w:gridCol w:w="2268"/>
        <w:gridCol w:w="2694"/>
        <w:gridCol w:w="992"/>
        <w:gridCol w:w="2126"/>
        <w:gridCol w:w="968"/>
        <w:gridCol w:w="969"/>
        <w:gridCol w:w="968"/>
        <w:gridCol w:w="969"/>
        <w:gridCol w:w="968"/>
        <w:gridCol w:w="969"/>
        <w:gridCol w:w="1702"/>
      </w:tblGrid>
      <w:tr>
        <w:trPr>
          <w:trHeight w:val="262" w:hRule="exact"/>
          <w:tblHeader/>
        </w:trPr>
        <w:tc>
          <w:tcPr>
            <w:tcW w:w="567" w:type="dxa"/>
            <w:tcBorders>
              <w:top w:val="single" w:color="auto" w:sz="4" w:space="0"/>
              <w:left w:val="single" w:color="auto" w:sz="4" w:space="0"/>
              <w:bottom w:val="single" w:color="auto" w:sz="4" w:space="0"/>
              <w:right w:val="single" w:color="auto" w:sz="4" w:space="0"/>
            </w:tcBorders>
            <w:hideMark/>
          </w:tcPr>
          <w:p>
            <w:pPr>
              <w:widowControl w:val="off"/>
              <w:spacing w:after="0" w:line="240" w:lineRule="auto"/>
              <w:jc w:val="center"/>
              <w:rPr>
                <w:rFonts w:ascii="Times New Roman" w:hAnsi="Times New Roman"/>
                <w:sz w:val="20"/>
                <w:szCs w:val="20"/>
                <w:lang w:eastAsia="ar-SA"/>
              </w:rPr>
            </w:pPr>
            <w:r>
              <w:rPr>
                <w:rFonts w:ascii="Times New Roman" w:hAnsi="Times New Roman"/>
                <w:sz w:val="20"/>
                <w:szCs w:val="20"/>
                <w:lang w:eastAsia="ar-SA"/>
              </w:rPr>
              <w:t xml:space="preserve">1</w:t>
            </w:r>
          </w:p>
        </w:tc>
        <w:tc>
          <w:tcPr>
            <w:tcW w:w="2268" w:type="dxa"/>
            <w:tcBorders>
              <w:top w:val="single" w:color="auto" w:sz="4" w:space="0"/>
              <w:left w:val="single" w:color="auto" w:sz="4" w:space="0"/>
              <w:bottom w:val="single" w:color="auto" w:sz="4" w:space="0"/>
              <w:right w:val="single" w:color="auto" w:sz="4" w:space="0"/>
            </w:tcBorders>
            <w:hideMark/>
          </w:tcPr>
          <w:p>
            <w:pPr>
              <w:widowControl w:val="off"/>
              <w:spacing w:after="0" w:line="240" w:lineRule="auto"/>
              <w:jc w:val="center"/>
              <w:rPr>
                <w:rFonts w:ascii="Times New Roman" w:hAnsi="Times New Roman"/>
                <w:sz w:val="20"/>
                <w:szCs w:val="20"/>
                <w:lang w:eastAsia="ar-SA"/>
              </w:rPr>
            </w:pPr>
            <w:r>
              <w:rPr>
                <w:rFonts w:ascii="Times New Roman" w:hAnsi="Times New Roman"/>
                <w:sz w:val="20"/>
                <w:szCs w:val="20"/>
                <w:lang w:eastAsia="ar-SA"/>
              </w:rPr>
              <w:t xml:space="preserve">2</w:t>
            </w:r>
          </w:p>
        </w:tc>
        <w:tc>
          <w:tcPr>
            <w:tcW w:w="2694" w:type="dxa"/>
            <w:tcBorders>
              <w:top w:val="single" w:color="auto" w:sz="4" w:space="0"/>
              <w:left w:val="single" w:color="auto" w:sz="4" w:space="0"/>
              <w:bottom w:val="single" w:color="auto" w:sz="4" w:space="0"/>
              <w:right w:val="single" w:color="auto" w:sz="4" w:space="0"/>
            </w:tcBorders>
            <w:hideMark/>
          </w:tcPr>
          <w:p>
            <w:pPr>
              <w:widowControl w:val="off"/>
              <w:spacing w:after="0" w:line="240" w:lineRule="auto"/>
              <w:jc w:val="center"/>
              <w:rPr>
                <w:rFonts w:ascii="Times New Roman" w:hAnsi="Times New Roman"/>
                <w:sz w:val="20"/>
                <w:szCs w:val="20"/>
                <w:lang w:eastAsia="ar-SA"/>
              </w:rPr>
            </w:pPr>
            <w:r>
              <w:rPr>
                <w:rFonts w:ascii="Times New Roman" w:hAnsi="Times New Roman"/>
                <w:sz w:val="20"/>
                <w:szCs w:val="20"/>
                <w:lang w:eastAsia="ar-SA"/>
              </w:rPr>
              <w:t xml:space="preserve">3</w:t>
            </w:r>
          </w:p>
        </w:tc>
        <w:tc>
          <w:tcPr>
            <w:tcW w:w="992" w:type="dxa"/>
            <w:tcBorders>
              <w:top w:val="single" w:color="auto" w:sz="4" w:space="0"/>
              <w:left w:val="single" w:color="auto" w:sz="4" w:space="0"/>
              <w:bottom w:val="single" w:color="auto" w:sz="4" w:space="0"/>
              <w:right w:val="single" w:color="auto" w:sz="4" w:space="0"/>
            </w:tcBorders>
            <w:hideMark/>
          </w:tcPr>
          <w:p>
            <w:pPr>
              <w:widowControl w:val="off"/>
              <w:spacing w:after="0" w:line="240" w:lineRule="auto"/>
              <w:jc w:val="center"/>
              <w:rPr>
                <w:rFonts w:ascii="Times New Roman" w:hAnsi="Times New Roman"/>
                <w:sz w:val="20"/>
                <w:szCs w:val="20"/>
                <w:lang w:eastAsia="ar-SA"/>
              </w:rPr>
            </w:pPr>
            <w:r>
              <w:rPr>
                <w:rFonts w:ascii="Times New Roman" w:hAnsi="Times New Roman"/>
                <w:sz w:val="20"/>
                <w:szCs w:val="20"/>
                <w:lang w:eastAsia="ar-SA"/>
              </w:rPr>
              <w:t xml:space="preserve">4</w:t>
            </w:r>
          </w:p>
        </w:tc>
        <w:tc>
          <w:tcPr>
            <w:tcW w:w="2126" w:type="dxa"/>
            <w:tcBorders>
              <w:top w:val="single" w:color="auto" w:sz="4" w:space="0"/>
              <w:left w:val="single" w:color="auto" w:sz="4" w:space="0"/>
              <w:bottom w:val="single" w:color="auto" w:sz="4" w:space="0"/>
              <w:right w:val="single" w:color="auto" w:sz="4" w:space="0"/>
            </w:tcBorders>
            <w:hideMark/>
          </w:tcPr>
          <w:p>
            <w:pPr>
              <w:widowControl w:val="off"/>
              <w:spacing w:after="0" w:line="240" w:lineRule="auto"/>
              <w:jc w:val="center"/>
              <w:rPr>
                <w:rFonts w:ascii="Times New Roman" w:hAnsi="Times New Roman"/>
                <w:sz w:val="20"/>
                <w:szCs w:val="20"/>
              </w:rPr>
            </w:pPr>
            <w:r>
              <w:rPr>
                <w:rFonts w:ascii="Times New Roman" w:hAnsi="Times New Roman"/>
                <w:sz w:val="20"/>
                <w:szCs w:val="20"/>
              </w:rPr>
              <w:t xml:space="preserve">5</w:t>
            </w:r>
          </w:p>
        </w:tc>
        <w:tc>
          <w:tcPr>
            <w:tcW w:w="968" w:type="dxa"/>
            <w:tcBorders>
              <w:top w:val="single" w:color="auto" w:sz="4" w:space="0"/>
              <w:left w:val="single" w:color="auto" w:sz="4" w:space="0"/>
              <w:bottom w:val="single" w:color="auto" w:sz="4" w:space="0"/>
              <w:right w:val="single" w:color="auto" w:sz="4" w:space="0"/>
            </w:tcBorders>
            <w:hideMark/>
          </w:tcPr>
          <w:p>
            <w:pPr>
              <w:widowControl w:val="off"/>
              <w:spacing w:after="0" w:line="240" w:lineRule="auto"/>
              <w:jc w:val="center"/>
              <w:rPr>
                <w:rFonts w:ascii="Times New Roman" w:hAnsi="Times New Roman"/>
                <w:sz w:val="20"/>
                <w:szCs w:val="20"/>
                <w:lang w:eastAsia="ar-SA"/>
              </w:rPr>
            </w:pPr>
            <w:r>
              <w:rPr>
                <w:rFonts w:ascii="Times New Roman" w:hAnsi="Times New Roman"/>
                <w:sz w:val="20"/>
                <w:szCs w:val="20"/>
                <w:lang w:eastAsia="ar-SA"/>
              </w:rPr>
              <w:t xml:space="preserve">6</w:t>
            </w:r>
          </w:p>
        </w:tc>
        <w:tc>
          <w:tcPr>
            <w:tcW w:w="969" w:type="dxa"/>
            <w:tcBorders>
              <w:top w:val="single" w:color="auto" w:sz="4" w:space="0"/>
              <w:left w:val="single" w:color="auto" w:sz="4" w:space="0"/>
              <w:bottom w:val="single" w:color="auto" w:sz="4" w:space="0"/>
              <w:right w:val="single" w:color="auto" w:sz="4" w:space="0"/>
            </w:tcBorders>
            <w:hideMark/>
          </w:tcPr>
          <w:p>
            <w:pPr>
              <w:widowControl w:val="off"/>
              <w:spacing w:after="0" w:line="240" w:lineRule="auto"/>
              <w:jc w:val="center"/>
              <w:rPr>
                <w:rFonts w:ascii="Times New Roman" w:hAnsi="Times New Roman"/>
                <w:sz w:val="20"/>
                <w:szCs w:val="20"/>
                <w:lang w:eastAsia="ar-SA"/>
              </w:rPr>
            </w:pPr>
            <w:r>
              <w:rPr>
                <w:rFonts w:ascii="Times New Roman" w:hAnsi="Times New Roman"/>
                <w:sz w:val="20"/>
                <w:szCs w:val="20"/>
                <w:lang w:eastAsia="ar-SA"/>
              </w:rPr>
              <w:t xml:space="preserve">7</w:t>
            </w:r>
          </w:p>
        </w:tc>
        <w:tc>
          <w:tcPr>
            <w:tcW w:w="968" w:type="dxa"/>
            <w:tcBorders>
              <w:top w:val="single" w:color="auto" w:sz="4" w:space="0"/>
              <w:left w:val="single" w:color="auto" w:sz="4" w:space="0"/>
              <w:bottom w:val="single" w:color="auto" w:sz="4" w:space="0"/>
              <w:right w:val="single" w:color="auto" w:sz="4" w:space="0"/>
            </w:tcBorders>
            <w:hideMark/>
          </w:tcPr>
          <w:p>
            <w:pPr>
              <w:widowControl w:val="off"/>
              <w:spacing w:after="0" w:line="240" w:lineRule="auto"/>
              <w:jc w:val="center"/>
              <w:rPr>
                <w:rFonts w:ascii="Times New Roman" w:hAnsi="Times New Roman"/>
                <w:sz w:val="20"/>
                <w:szCs w:val="20"/>
                <w:lang w:eastAsia="ar-SA"/>
              </w:rPr>
            </w:pPr>
            <w:r>
              <w:rPr>
                <w:rFonts w:ascii="Times New Roman" w:hAnsi="Times New Roman"/>
                <w:sz w:val="20"/>
                <w:szCs w:val="20"/>
                <w:lang w:eastAsia="ar-SA"/>
              </w:rPr>
              <w:t xml:space="preserve">8</w:t>
            </w:r>
          </w:p>
        </w:tc>
        <w:tc>
          <w:tcPr>
            <w:tcW w:w="969" w:type="dxa"/>
            <w:tcBorders>
              <w:top w:val="single" w:color="auto" w:sz="4" w:space="0"/>
              <w:left w:val="single" w:color="auto" w:sz="4" w:space="0"/>
              <w:bottom w:val="single" w:color="auto" w:sz="4" w:space="0"/>
              <w:right w:val="single" w:color="auto" w:sz="4" w:space="0"/>
            </w:tcBorders>
            <w:hideMark/>
          </w:tcPr>
          <w:p>
            <w:pPr>
              <w:widowControl w:val="off"/>
              <w:tabs>
                <w:tab w:val="left" w:pos="1876"/>
                <w:tab w:val="left" w:pos="2444"/>
              </w:tabs>
              <w:spacing w:after="0" w:line="240" w:lineRule="auto"/>
              <w:ind w:left="23"/>
              <w:jc w:val="center"/>
              <w:rPr>
                <w:rFonts w:ascii="Times New Roman" w:hAnsi="Times New Roman"/>
                <w:sz w:val="20"/>
                <w:szCs w:val="20"/>
                <w:lang w:eastAsia="ar-SA"/>
              </w:rPr>
            </w:pPr>
            <w:r>
              <w:rPr>
                <w:rFonts w:ascii="Times New Roman" w:hAnsi="Times New Roman"/>
                <w:sz w:val="20"/>
                <w:szCs w:val="20"/>
                <w:lang w:eastAsia="ar-SA"/>
              </w:rPr>
              <w:t xml:space="preserve">9</w:t>
            </w:r>
          </w:p>
        </w:tc>
        <w:tc>
          <w:tcPr>
            <w:tcW w:w="968" w:type="dxa"/>
            <w:tcBorders>
              <w:top w:val="single" w:color="auto" w:sz="4" w:space="0"/>
              <w:left w:val="single" w:color="auto" w:sz="4" w:space="0"/>
              <w:bottom w:val="single" w:color="auto" w:sz="4" w:space="0"/>
              <w:right w:val="single" w:color="auto" w:sz="4" w:space="0"/>
            </w:tcBorders>
          </w:tcPr>
          <w:p>
            <w:pPr>
              <w:widowControl w:val="off"/>
              <w:tabs>
                <w:tab w:val="left" w:pos="1876"/>
                <w:tab w:val="left" w:pos="2444"/>
              </w:tabs>
              <w:spacing w:after="0" w:line="240" w:lineRule="auto"/>
              <w:ind w:left="23"/>
              <w:jc w:val="center"/>
              <w:rPr>
                <w:rFonts w:ascii="Times New Roman" w:hAnsi="Times New Roman"/>
                <w:sz w:val="20"/>
                <w:szCs w:val="20"/>
                <w:lang w:eastAsia="ar-SA"/>
              </w:rPr>
            </w:pPr>
            <w:r>
              <w:rPr>
                <w:rFonts w:ascii="Times New Roman" w:hAnsi="Times New Roman"/>
                <w:sz w:val="20"/>
                <w:szCs w:val="20"/>
                <w:lang w:eastAsia="ar-SA"/>
              </w:rPr>
              <w:t xml:space="preserve">10</w:t>
            </w:r>
          </w:p>
        </w:tc>
        <w:tc>
          <w:tcPr>
            <w:tcW w:w="969" w:type="dxa"/>
            <w:tcBorders>
              <w:top w:val="single" w:color="auto" w:sz="4" w:space="0"/>
              <w:left w:val="single" w:color="auto" w:sz="4" w:space="0"/>
              <w:bottom w:val="single" w:color="auto" w:sz="4" w:space="0"/>
              <w:right w:val="single" w:color="auto" w:sz="4" w:space="0"/>
            </w:tcBorders>
          </w:tcPr>
          <w:p>
            <w:pPr>
              <w:widowControl w:val="off"/>
              <w:tabs>
                <w:tab w:val="left" w:pos="1876"/>
                <w:tab w:val="left" w:pos="2444"/>
              </w:tabs>
              <w:spacing w:after="0" w:line="240" w:lineRule="auto"/>
              <w:ind w:left="23"/>
              <w:jc w:val="center"/>
              <w:rPr>
                <w:rFonts w:ascii="Times New Roman" w:hAnsi="Times New Roman"/>
                <w:sz w:val="20"/>
                <w:szCs w:val="20"/>
                <w:lang w:eastAsia="ar-SA"/>
              </w:rPr>
            </w:pPr>
            <w:r>
              <w:rPr>
                <w:rFonts w:ascii="Times New Roman" w:hAnsi="Times New Roman"/>
                <w:sz w:val="20"/>
                <w:szCs w:val="20"/>
                <w:lang w:eastAsia="ar-SA"/>
              </w:rPr>
              <w:t xml:space="preserve">11</w:t>
            </w:r>
          </w:p>
        </w:tc>
        <w:tc>
          <w:tcPr>
            <w:tcW w:w="1702" w:type="dxa"/>
            <w:tcBorders>
              <w:top w:val="single" w:color="auto" w:sz="4" w:space="0"/>
              <w:left w:val="single" w:color="auto" w:sz="4" w:space="0"/>
              <w:bottom w:val="single" w:color="auto" w:sz="4" w:space="0"/>
              <w:right w:val="single" w:color="auto" w:sz="4" w:space="0"/>
            </w:tcBorders>
          </w:tcPr>
          <w:p>
            <w:pPr>
              <w:widowControl w:val="off"/>
              <w:tabs>
                <w:tab w:val="left" w:pos="1876"/>
                <w:tab w:val="left" w:pos="2444"/>
              </w:tabs>
              <w:spacing w:after="0" w:line="240" w:lineRule="auto"/>
              <w:ind w:left="23"/>
              <w:jc w:val="center"/>
              <w:rPr>
                <w:rFonts w:ascii="Times New Roman" w:hAnsi="Times New Roman"/>
                <w:sz w:val="20"/>
                <w:szCs w:val="20"/>
                <w:lang w:val="en-US" w:eastAsia="ar-SA"/>
              </w:rPr>
            </w:pPr>
            <w:r>
              <w:rPr>
                <w:rFonts w:ascii="Times New Roman" w:hAnsi="Times New Roman"/>
                <w:sz w:val="20"/>
                <w:szCs w:val="20"/>
                <w:lang w:eastAsia="ar-SA"/>
              </w:rPr>
              <w:t xml:space="preserve">1</w:t>
            </w:r>
            <w:r>
              <w:rPr>
                <w:rFonts w:ascii="Times New Roman" w:hAnsi="Times New Roman"/>
                <w:sz w:val="20"/>
                <w:szCs w:val="20"/>
                <w:lang w:val="en-US" w:eastAsia="ar-SA"/>
              </w:rPr>
              <w:t xml:space="preserve">2</w:t>
            </w:r>
          </w:p>
        </w:tc>
      </w:tr>
      <w:tr>
        <w:trPr>
          <w:trHeight w:val="497"/>
        </w:trPr>
        <w:tc>
          <w:tcPr>
            <w:tcW w:w="14458" w:type="dxa"/>
            <w:gridSpan w:val="11"/>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cs="Times New Roman"/>
                <w:sz w:val="20"/>
                <w:szCs w:val="20"/>
                <w:lang w:eastAsia="ar-SA"/>
              </w:rPr>
            </w:pPr>
            <w:r>
              <w:rPr>
                <w:rFonts w:ascii="Times New Roman" w:hAnsi="Times New Roman" w:cs="Times New Roman"/>
                <w:sz w:val="20"/>
                <w:szCs w:val="20"/>
              </w:rPr>
              <w:t xml:space="preserve">Цель:</w:t>
            </w:r>
            <w:r>
              <w:rPr>
                <w:rFonts w:ascii="Times New Roman" w:hAnsi="Times New Roman" w:cs="Times New Roman"/>
                <w:sz w:val="20"/>
                <w:szCs w:val="20"/>
              </w:rPr>
              <w:t xml:space="preserve"> о</w:t>
            </w:r>
            <w:r>
              <w:rPr>
                <w:rFonts w:ascii="Times New Roman" w:hAnsi="Times New Roman" w:cs="Times New Roman"/>
                <w:sz w:val="20"/>
                <w:szCs w:val="20"/>
              </w:rPr>
              <w:t xml:space="preserve">беспечение эффективного использования топливно-энергетических ресурсов за счет реализации мероприятий по энергосбережению и повышению энергетической эффективности на территории города Ставрополя</w:t>
            </w:r>
          </w:p>
        </w:tc>
        <w:tc>
          <w:tcPr>
            <w:tcW w:w="1702"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0"/>
                <w:szCs w:val="20"/>
                <w:lang w:eastAsia="ar-SA"/>
              </w:rPr>
            </w:pPr>
            <w:r>
              <w:rPr>
                <w:rFonts w:ascii="Times New Roman" w:hAnsi="Times New Roman"/>
                <w:sz w:val="20"/>
                <w:szCs w:val="20"/>
                <w:lang w:eastAsia="ar-SA"/>
              </w:rPr>
              <w:t xml:space="preserve">пункт 1 </w:t>
            </w:r>
            <w:r>
              <w:rPr>
                <w:rFonts w:ascii="Times New Roman" w:hAnsi="Times New Roman"/>
                <w:sz w:val="20"/>
                <w:szCs w:val="20"/>
                <w:lang w:eastAsia="ar-SA"/>
              </w:rPr>
              <w:t xml:space="preserve">таблицы приложения 2 к Программе</w:t>
            </w:r>
          </w:p>
        </w:tc>
      </w:tr>
      <w:tr>
        <w:trPr>
          <w:trHeight w:val="165"/>
        </w:trPr>
        <w:tc>
          <w:tcPr>
            <w:tcW w:w="16160" w:type="dxa"/>
            <w:gridSpan w:val="12"/>
            <w:tcBorders>
              <w:top w:val="single" w:color="000000" w:sz="4" w:space="0"/>
              <w:left w:val="single" w:color="000000" w:sz="4" w:space="0"/>
              <w:bottom w:val="single" w:color="auto" w:sz="4" w:space="0"/>
              <w:right w:val="single" w:color="000000" w:sz="4" w:space="0"/>
            </w:tcBorders>
          </w:tcPr>
          <w:p>
            <w:pPr>
              <w:spacing w:after="0" w:line="240" w:lineRule="auto"/>
              <w:rPr>
                <w:rFonts w:ascii="Times New Roman" w:hAnsi="Times New Roman" w:cs="Times New Roman"/>
                <w:sz w:val="20"/>
                <w:szCs w:val="20"/>
                <w:lang w:eastAsia="ar-SA"/>
              </w:rPr>
            </w:pPr>
            <w:r>
              <w:rPr>
                <w:rFonts w:ascii="Times New Roman" w:hAnsi="Times New Roman" w:cs="Times New Roman"/>
                <w:sz w:val="20"/>
                <w:szCs w:val="20"/>
              </w:rPr>
              <w:t xml:space="preserve">Задача 1. Обеспечение учета объема потребляемых энергетических ресурсов</w:t>
            </w:r>
          </w:p>
        </w:tc>
      </w:tr>
      <w:tr>
        <w:trPr>
          <w:trHeight w:val="341"/>
        </w:trPr>
        <w:tc>
          <w:tcPr>
            <w:tcW w:w="567" w:type="dxa"/>
            <w:vMerge w:val="restart"/>
            <w:tcBorders>
              <w:top w:val="single" w:color="auto" w:sz="4" w:space="0"/>
              <w:left w:val="single" w:color="000000" w:sz="4" w:space="0"/>
              <w:right w:val="single" w:color="auto" w:sz="4" w:space="0"/>
            </w:tcBorders>
          </w:tcPr>
          <w:p>
            <w:pPr>
              <w:spacing w:line="240" w:lineRule="auto"/>
              <w:rPr>
                <w:rFonts w:ascii="Times New Roman" w:hAnsi="Times New Roman" w:cs="Times New Roman"/>
                <w:sz w:val="20"/>
                <w:szCs w:val="20"/>
              </w:rPr>
            </w:pPr>
            <w:r>
              <w:rPr>
                <w:rFonts w:ascii="Times New Roman" w:hAnsi="Times New Roman" w:cs="Times New Roman"/>
                <w:sz w:val="20"/>
                <w:szCs w:val="20"/>
              </w:rPr>
              <w:t xml:space="preserve">1.</w:t>
            </w:r>
          </w:p>
        </w:tc>
        <w:tc>
          <w:tcPr>
            <w:tcW w:w="2268" w:type="dxa"/>
            <w:vMerge w:val="restart"/>
            <w:tcBorders>
              <w:top w:val="single" w:color="auto" w:sz="4" w:space="0"/>
              <w:left w:val="single" w:color="000000" w:sz="4" w:space="0"/>
              <w:right w:val="single" w:color="auto" w:sz="4" w:space="0"/>
            </w:tcBorders>
          </w:tcPr>
          <w:p>
            <w:pPr>
              <w:spacing w:line="240" w:lineRule="auto"/>
              <w:rPr>
                <w:rFonts w:ascii="Times New Roman" w:hAnsi="Times New Roman" w:cs="Times New Roman"/>
                <w:sz w:val="20"/>
                <w:szCs w:val="20"/>
              </w:rPr>
            </w:pPr>
            <w:r>
              <w:rPr>
                <w:rFonts w:ascii="Times New Roman" w:hAnsi="Times New Roman" w:cs="Times New Roman"/>
                <w:sz w:val="20"/>
                <w:szCs w:val="20"/>
              </w:rPr>
              <w:t xml:space="preserve">Энергосбережение и </w:t>
            </w:r>
            <w:r>
              <w:rPr>
                <w:rFonts w:ascii="Times New Roman" w:hAnsi="Times New Roman" w:cs="Times New Roman"/>
                <w:sz w:val="20"/>
                <w:szCs w:val="20"/>
              </w:rPr>
              <w:t xml:space="preserve">энергоэффективность</w:t>
            </w:r>
            <w:r>
              <w:rPr>
                <w:rFonts w:ascii="Times New Roman" w:hAnsi="Times New Roman" w:cs="Times New Roman"/>
                <w:sz w:val="20"/>
                <w:szCs w:val="20"/>
              </w:rPr>
              <w:t xml:space="preserve"> в бюджетном секторе</w:t>
            </w:r>
          </w:p>
        </w:tc>
        <w:tc>
          <w:tcPr>
            <w:tcW w:w="2694" w:type="dxa"/>
            <w:vMerge w:val="restart"/>
            <w:tcBorders>
              <w:top w:val="single" w:color="auto" w:sz="4" w:space="0"/>
              <w:left w:val="single" w:color="000000" w:sz="4" w:space="0"/>
              <w:right w:val="single" w:color="auto" w:sz="4" w:space="0"/>
            </w:tcBorders>
          </w:tcPr>
          <w:p>
            <w:pPr>
              <w:pStyle w:val="ConsPlusNormal"/>
              <w:rPr>
                <w:sz w:val="20"/>
                <w:szCs w:val="20"/>
              </w:rPr>
            </w:pPr>
            <w:r>
              <w:rPr>
                <w:sz w:val="20"/>
                <w:szCs w:val="20"/>
              </w:rPr>
              <w:t xml:space="preserve">комитет городского хозяйства администрации города Ставрополя;</w:t>
            </w:r>
          </w:p>
          <w:p>
            <w:pPr>
              <w:pStyle w:val="ConsPlusNormal"/>
              <w:rPr>
                <w:sz w:val="20"/>
                <w:szCs w:val="20"/>
              </w:rPr>
            </w:pPr>
            <w:r>
              <w:rPr>
                <w:sz w:val="20"/>
                <w:szCs w:val="20"/>
              </w:rPr>
              <w:t xml:space="preserve">комитет образования администрации города Ставрополя;</w:t>
            </w:r>
          </w:p>
          <w:p>
            <w:pPr>
              <w:pStyle w:val="ConsPlusNormal"/>
              <w:rPr>
                <w:sz w:val="20"/>
                <w:szCs w:val="20"/>
              </w:rPr>
            </w:pPr>
            <w:r>
              <w:rPr>
                <w:sz w:val="20"/>
                <w:szCs w:val="20"/>
              </w:rPr>
              <w:t xml:space="preserve">комитет культуры и молодежной политики администрации города Ставрополя;</w:t>
            </w:r>
          </w:p>
          <w:p>
            <w:pPr>
              <w:pStyle w:val="ConsPlusNormal"/>
              <w:rPr>
                <w:sz w:val="20"/>
                <w:szCs w:val="20"/>
              </w:rPr>
            </w:pPr>
            <w:r>
              <w:rPr>
                <w:sz w:val="20"/>
                <w:szCs w:val="20"/>
              </w:rPr>
              <w:t xml:space="preserve">комитет физической культуры и спорта администрации города Ставрополя;</w:t>
            </w:r>
          </w:p>
          <w:p>
            <w:pPr>
              <w:pStyle w:val="ConsPlusNormal"/>
              <w:rPr>
                <w:sz w:val="20"/>
                <w:szCs w:val="20"/>
              </w:rPr>
            </w:pPr>
            <w:r>
              <w:rPr>
                <w:sz w:val="20"/>
                <w:szCs w:val="20"/>
              </w:rPr>
              <w:t xml:space="preserve">администрация Октябрьского района города Ставрополя;</w:t>
            </w:r>
          </w:p>
          <w:p>
            <w:pPr>
              <w:pStyle w:val="ConsPlusNormal"/>
              <w:rPr>
                <w:sz w:val="20"/>
                <w:szCs w:val="20"/>
              </w:rPr>
            </w:pPr>
            <w:r>
              <w:rPr>
                <w:sz w:val="20"/>
                <w:szCs w:val="20"/>
              </w:rPr>
              <w:t xml:space="preserve">администрация Промышл</w:t>
            </w:r>
            <w:r>
              <w:rPr>
                <w:sz w:val="20"/>
                <w:szCs w:val="20"/>
              </w:rPr>
              <w:t xml:space="preserve">енного района </w:t>
            </w:r>
            <w:r>
              <w:rPr>
                <w:sz w:val="20"/>
                <w:szCs w:val="20"/>
              </w:rPr>
              <w:t xml:space="preserve">города Ставрополя;</w:t>
            </w:r>
          </w:p>
          <w:p>
            <w:pPr>
              <w:widowControl w:val="off"/>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Ленинского района города Ставрополя</w:t>
            </w:r>
          </w:p>
        </w:tc>
        <w:tc>
          <w:tcPr>
            <w:tcW w:w="992" w:type="dxa"/>
            <w:vMerge w:val="restart"/>
            <w:tcBorders>
              <w:top w:val="single" w:color="auto" w:sz="4" w:space="0"/>
              <w:left w:val="single" w:color="000000" w:sz="4" w:space="0"/>
              <w:right w:val="single" w:color="auto" w:sz="4" w:space="0"/>
            </w:tcBorders>
          </w:tcPr>
          <w:p>
            <w:pPr>
              <w:widowControl w:val="off"/>
              <w:spacing w:line="240" w:lineRule="auto"/>
              <w:rPr>
                <w:rFonts w:ascii="Times New Roman" w:hAnsi="Times New Roman" w:cs="Times New Roman"/>
                <w:sz w:val="20"/>
                <w:szCs w:val="20"/>
              </w:rPr>
            </w:pPr>
            <w:r>
              <w:rPr>
                <w:rFonts w:ascii="Times New Roman" w:hAnsi="Times New Roman"/>
                <w:sz w:val="20"/>
              </w:rPr>
              <w:t xml:space="preserve"> 2023 - 2028</w:t>
            </w:r>
          </w:p>
        </w:tc>
        <w:tc>
          <w:tcPr>
            <w:tcW w:w="2126" w:type="dxa"/>
            <w:vMerge w:val="restart"/>
            <w:tcBorders>
              <w:top w:val="single" w:color="auto" w:sz="4" w:space="0"/>
              <w:left w:val="single" w:color="000000" w:sz="4" w:space="0"/>
              <w:right w:val="single" w:color="auto" w:sz="4" w:space="0"/>
            </w:tcBorders>
          </w:tcPr>
          <w:p>
            <w:pPr>
              <w:widowControl w:val="off"/>
              <w:spacing w:line="240" w:lineRule="auto"/>
              <w:rPr>
                <w:rFonts w:ascii="Times New Roman" w:hAnsi="Times New Roman" w:cs="Times New Roman"/>
                <w:sz w:val="20"/>
                <w:szCs w:val="20"/>
              </w:rPr>
            </w:pPr>
            <w:r>
              <w:rPr>
                <w:rFonts w:ascii="Times New Roman" w:hAnsi="Times New Roman" w:cs="Times New Roman"/>
                <w:color w:val="000000"/>
                <w:sz w:val="20"/>
                <w:szCs w:val="20"/>
              </w:rPr>
              <w:t xml:space="preserve">Федеральный </w:t>
            </w:r>
            <w:hyperlink r:id="rId26" w:history="1">
              <w:r>
                <w:rPr>
                  <w:rStyle w:val="ListLabel1"/>
                  <w:rFonts w:ascii="Times New Roman" w:hAnsi="Times New Roman" w:cs="Times New Roman"/>
                  <w:color w:val="000000"/>
                  <w:sz w:val="20"/>
                  <w:szCs w:val="20"/>
                </w:rPr>
                <w:t xml:space="preserve">закон</w:t>
              </w:r>
            </w:hyperlink>
            <w:r>
              <w:rPr>
                <w:rFonts w:ascii="Times New Roman" w:hAnsi="Times New Roman" w:cs="Times New Roman"/>
                <w:color w:val="000000"/>
                <w:sz w:val="20"/>
                <w:szCs w:val="20"/>
              </w:rPr>
              <w:t xml:space="preserve"> от</w:t>
            </w:r>
            <w:r>
              <w:rPr>
                <w:rFonts w:ascii="Times New Roman" w:hAnsi="Times New Roman" w:cs="Times New Roman"/>
                <w:sz w:val="20"/>
                <w:szCs w:val="20"/>
              </w:rPr>
              <w:t xml:space="preserve">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tc>
        <w:tc>
          <w:tcPr>
            <w:tcW w:w="7513" w:type="dxa"/>
            <w:gridSpan w:val="7"/>
            <w:tcBorders>
              <w:top w:val="single" w:color="auto" w:sz="4" w:space="0"/>
              <w:left w:val="single" w:color="auto" w:sz="4" w:space="0"/>
              <w:bottom w:val="single" w:color="000000" w:sz="4" w:space="0"/>
              <w:right w:val="single" w:color="000000" w:sz="4" w:space="0"/>
            </w:tcBorders>
          </w:tcPr>
          <w:p>
            <w:pPr>
              <w:pStyle w:val="ConsPlusNormal"/>
              <w:jc w:val="center"/>
              <w:rPr>
                <w:sz w:val="20"/>
                <w:szCs w:val="20"/>
              </w:rPr>
            </w:pPr>
            <w:r>
              <w:rPr>
                <w:sz w:val="20"/>
                <w:szCs w:val="20"/>
              </w:rPr>
              <w:t xml:space="preserve">за счет средств бюджета города Ставрополя</w:t>
            </w:r>
          </w:p>
        </w:tc>
      </w:tr>
      <w:tr>
        <w:trPr>
          <w:trHeight w:val="1156"/>
        </w:trPr>
        <w:tc>
          <w:tcPr>
            <w:tcW w:w="567" w:type="dxa"/>
            <w:vMerge w:val="continue"/>
            <w:tcBorders>
              <w:left w:val="single" w:color="000000" w:sz="4" w:space="0"/>
              <w:bottom w:val="single" w:color="000000" w:sz="4" w:space="0"/>
              <w:right w:val="single" w:color="auto" w:sz="4" w:space="0"/>
            </w:tcBorders>
          </w:tcPr>
          <w:p>
            <w:pPr>
              <w:spacing w:after="0" w:line="240" w:lineRule="auto"/>
              <w:rPr>
                <w:rFonts w:ascii="Times New Roman" w:hAnsi="Times New Roman" w:cs="Times New Roman"/>
                <w:sz w:val="20"/>
                <w:szCs w:val="20"/>
              </w:rPr>
            </w:pPr>
          </w:p>
        </w:tc>
        <w:tc>
          <w:tcPr>
            <w:tcW w:w="2268" w:type="dxa"/>
            <w:vMerge w:val="continue"/>
            <w:tcBorders>
              <w:left w:val="single" w:color="000000" w:sz="4" w:space="0"/>
              <w:bottom w:val="single" w:color="000000" w:sz="4" w:space="0"/>
              <w:right w:val="single" w:color="auto" w:sz="4" w:space="0"/>
            </w:tcBorders>
          </w:tcPr>
          <w:p>
            <w:pPr>
              <w:spacing w:after="0" w:line="240" w:lineRule="auto"/>
              <w:rPr>
                <w:rFonts w:ascii="Times New Roman" w:hAnsi="Times New Roman" w:cs="Times New Roman"/>
                <w:sz w:val="20"/>
                <w:szCs w:val="20"/>
              </w:rPr>
            </w:pPr>
          </w:p>
        </w:tc>
        <w:tc>
          <w:tcPr>
            <w:tcW w:w="2694" w:type="dxa"/>
            <w:vMerge w:val="continue"/>
            <w:tcBorders>
              <w:left w:val="single" w:color="auto" w:sz="4" w:space="0"/>
              <w:bottom w:val="single" w:color="000000" w:sz="4" w:space="0"/>
              <w:right w:val="single" w:color="000000" w:sz="4" w:space="0"/>
            </w:tcBorders>
          </w:tcPr>
          <w:p>
            <w:pPr>
              <w:widowControl w:val="off"/>
              <w:spacing w:after="0" w:line="240" w:lineRule="auto"/>
              <w:jc w:val="both"/>
              <w:rPr>
                <w:rFonts w:ascii="Times New Roman" w:hAnsi="Times New Roman"/>
                <w:sz w:val="20"/>
              </w:rPr>
            </w:pPr>
          </w:p>
        </w:tc>
        <w:tc>
          <w:tcPr>
            <w:tcW w:w="992" w:type="dxa"/>
            <w:vMerge w:val="continue"/>
            <w:tcBorders>
              <w:left w:val="single" w:color="000000" w:sz="4" w:space="0"/>
              <w:bottom w:val="single" w:color="000000" w:sz="4" w:space="0"/>
              <w:right w:val="single" w:color="auto" w:sz="4" w:space="0"/>
            </w:tcBorders>
          </w:tcPr>
          <w:p>
            <w:pPr>
              <w:widowControl w:val="off"/>
              <w:spacing w:after="0" w:line="240" w:lineRule="auto"/>
              <w:rPr>
                <w:rFonts w:ascii="Times New Roman" w:hAnsi="Times New Roman"/>
                <w:sz w:val="20"/>
              </w:rPr>
            </w:pPr>
          </w:p>
        </w:tc>
        <w:tc>
          <w:tcPr>
            <w:tcW w:w="2126" w:type="dxa"/>
            <w:vMerge w:val="continue"/>
            <w:tcBorders>
              <w:left w:val="single" w:color="auto" w:sz="4" w:space="0"/>
              <w:bottom w:val="single" w:color="000000" w:sz="4" w:space="0"/>
              <w:right w:val="single" w:color="auto" w:sz="4" w:space="0"/>
            </w:tcBorders>
          </w:tcPr>
          <w:p>
            <w:pPr>
              <w:widowControl w:val="off"/>
              <w:spacing w:after="0" w:line="240" w:lineRule="auto"/>
              <w:rPr>
                <w:rFonts w:ascii="Times New Roman" w:hAnsi="Times New Roman" w:cs="Times New Roman"/>
                <w:sz w:val="20"/>
                <w:szCs w:val="20"/>
              </w:rPr>
            </w:pPr>
          </w:p>
        </w:tc>
        <w:tc>
          <w:tcPr>
            <w:tcW w:w="968" w:type="dxa"/>
            <w:tcBorders>
              <w:top w:val="single" w:color="000000" w:sz="4" w:space="0"/>
              <w:left w:val="single" w:color="auto" w:sz="4" w:space="0"/>
              <w:bottom w:val="single" w:color="000000" w:sz="4" w:space="0"/>
              <w:right w:val="none"/>
            </w:tcBorders>
          </w:tcPr>
          <w:p>
            <w:pPr>
              <w:pStyle w:val="ConsPlusNormal"/>
              <w:rPr>
                <w:sz w:val="16"/>
                <w:szCs w:val="16"/>
              </w:rPr>
            </w:pPr>
          </w:p>
          <w:p>
            <w:pPr>
              <w:pStyle w:val="ConsPlusNormal"/>
              <w:jc w:val="center"/>
              <w:rPr>
                <w:sz w:val="16"/>
                <w:szCs w:val="16"/>
              </w:rPr>
            </w:pPr>
            <w:r>
              <w:rPr>
                <w:sz w:val="16"/>
                <w:szCs w:val="16"/>
              </w:rPr>
              <w:t xml:space="preserve">5973,82</w:t>
            </w:r>
          </w:p>
        </w:tc>
        <w:tc>
          <w:tcPr>
            <w:tcW w:w="969" w:type="dxa"/>
            <w:tcBorders>
              <w:top w:val="single" w:color="000000" w:sz="4" w:space="0"/>
              <w:left w:val="single" w:color="000000" w:sz="4" w:space="0"/>
              <w:bottom w:val="single" w:color="000000" w:sz="4" w:space="0"/>
              <w:right w:val="none"/>
            </w:tcBorders>
          </w:tcPr>
          <w:p>
            <w:pPr>
              <w:pStyle w:val="ConsPlusNormal"/>
              <w:rPr>
                <w:sz w:val="16"/>
                <w:szCs w:val="16"/>
              </w:rPr>
            </w:pPr>
          </w:p>
          <w:p>
            <w:pPr>
              <w:pStyle w:val="ConsPlusNormal"/>
              <w:jc w:val="center"/>
              <w:rPr>
                <w:sz w:val="16"/>
                <w:szCs w:val="16"/>
              </w:rPr>
            </w:pPr>
            <w:r>
              <w:rPr>
                <w:sz w:val="16"/>
                <w:szCs w:val="16"/>
              </w:rPr>
              <w:t xml:space="preserve">5973,82</w:t>
            </w:r>
          </w:p>
        </w:tc>
        <w:tc>
          <w:tcPr>
            <w:tcW w:w="968" w:type="dxa"/>
            <w:tcBorders>
              <w:top w:val="single" w:color="000000" w:sz="4" w:space="0"/>
              <w:left w:val="single" w:color="000000" w:sz="4" w:space="0"/>
              <w:bottom w:val="single" w:color="000000" w:sz="4" w:space="0"/>
              <w:right w:val="single" w:color="000000" w:sz="4" w:space="0"/>
            </w:tcBorders>
          </w:tcPr>
          <w:p>
            <w:pPr>
              <w:pStyle w:val="ConsPlusNormal"/>
              <w:jc w:val="center"/>
              <w:rPr>
                <w:sz w:val="16"/>
                <w:szCs w:val="16"/>
              </w:rPr>
            </w:pPr>
          </w:p>
          <w:p>
            <w:pPr>
              <w:pStyle w:val="ConsPlusNormal"/>
              <w:jc w:val="center"/>
              <w:rPr>
                <w:sz w:val="16"/>
                <w:szCs w:val="16"/>
              </w:rPr>
            </w:pPr>
            <w:r>
              <w:rPr>
                <w:sz w:val="16"/>
                <w:szCs w:val="16"/>
              </w:rPr>
              <w:t xml:space="preserve">5973,82</w:t>
            </w:r>
          </w:p>
        </w:tc>
        <w:tc>
          <w:tcPr>
            <w:tcW w:w="969" w:type="dxa"/>
            <w:tcBorders>
              <w:top w:val="single" w:color="000000" w:sz="4" w:space="0"/>
              <w:left w:val="single" w:color="000000" w:sz="4" w:space="0"/>
              <w:bottom w:val="single" w:color="000000" w:sz="4" w:space="0"/>
              <w:right w:val="single" w:color="000000" w:sz="4" w:space="0"/>
            </w:tcBorders>
          </w:tcPr>
          <w:p>
            <w:pPr>
              <w:pStyle w:val="ConsPlusNormal"/>
              <w:rPr>
                <w:sz w:val="16"/>
                <w:szCs w:val="16"/>
              </w:rPr>
            </w:pPr>
          </w:p>
          <w:p>
            <w:pPr>
              <w:pStyle w:val="ConsPlusNormal"/>
              <w:jc w:val="center"/>
              <w:rPr>
                <w:sz w:val="16"/>
                <w:szCs w:val="16"/>
              </w:rPr>
            </w:pPr>
            <w:r>
              <w:rPr>
                <w:sz w:val="16"/>
                <w:szCs w:val="16"/>
              </w:rPr>
              <w:t xml:space="preserve">5973,82</w:t>
            </w:r>
          </w:p>
        </w:tc>
        <w:tc>
          <w:tcPr>
            <w:tcW w:w="968" w:type="dxa"/>
            <w:tcBorders>
              <w:top w:val="single" w:color="000000" w:sz="4" w:space="0"/>
              <w:left w:val="single" w:color="000000" w:sz="4" w:space="0"/>
              <w:bottom w:val="single" w:color="000000" w:sz="4" w:space="0"/>
              <w:right w:val="single" w:color="000000" w:sz="4" w:space="0"/>
            </w:tcBorders>
          </w:tcPr>
          <w:p>
            <w:pPr>
              <w:pStyle w:val="ConsPlusNormal"/>
              <w:rPr>
                <w:sz w:val="16"/>
                <w:szCs w:val="16"/>
              </w:rPr>
            </w:pPr>
          </w:p>
          <w:p>
            <w:pPr>
              <w:pStyle w:val="ConsPlusNormal"/>
              <w:jc w:val="center"/>
              <w:rPr>
                <w:sz w:val="16"/>
                <w:szCs w:val="16"/>
              </w:rPr>
            </w:pPr>
            <w:r>
              <w:rPr>
                <w:sz w:val="16"/>
                <w:szCs w:val="16"/>
              </w:rPr>
              <w:t xml:space="preserve">5973,82</w:t>
            </w:r>
          </w:p>
        </w:tc>
        <w:tc>
          <w:tcPr>
            <w:tcW w:w="969" w:type="dxa"/>
            <w:tcBorders>
              <w:top w:val="single" w:color="000000" w:sz="4" w:space="0"/>
              <w:left w:val="single" w:color="000000" w:sz="4" w:space="0"/>
              <w:bottom w:val="single" w:color="000000" w:sz="4" w:space="0"/>
              <w:right w:val="single" w:color="000000" w:sz="4" w:space="0"/>
            </w:tcBorders>
          </w:tcPr>
          <w:p>
            <w:pPr>
              <w:pStyle w:val="ConsPlusNormal"/>
              <w:rPr>
                <w:sz w:val="16"/>
                <w:szCs w:val="16"/>
              </w:rPr>
            </w:pPr>
          </w:p>
          <w:p>
            <w:pPr>
              <w:pStyle w:val="ConsPlusNormal"/>
              <w:jc w:val="center"/>
              <w:rPr>
                <w:sz w:val="16"/>
                <w:szCs w:val="16"/>
              </w:rPr>
            </w:pPr>
            <w:r>
              <w:rPr>
                <w:sz w:val="16"/>
                <w:szCs w:val="16"/>
              </w:rPr>
              <w:t xml:space="preserve">5973,82</w:t>
            </w:r>
          </w:p>
        </w:tc>
        <w:tc>
          <w:tcPr>
            <w:tcW w:w="1702" w:type="dxa"/>
            <w:tcBorders>
              <w:top w:val="single" w:color="000000" w:sz="4" w:space="0"/>
              <w:left w:val="single" w:color="000000" w:sz="4" w:space="0"/>
              <w:bottom w:val="single" w:color="000000" w:sz="4" w:space="0"/>
              <w:right w:val="single" w:color="000000" w:sz="4" w:space="0"/>
            </w:tcBorders>
          </w:tcPr>
          <w:p>
            <w:pPr>
              <w:widowControl w:val="off"/>
              <w:spacing w:after="0" w:line="240" w:lineRule="auto"/>
              <w:ind w:right="-108"/>
              <w:rPr>
                <w:rFonts w:ascii="Times New Roman" w:hAnsi="Times New Roman"/>
                <w:sz w:val="20"/>
                <w:szCs w:val="20"/>
                <w:lang w:eastAsia="ar-SA"/>
              </w:rPr>
            </w:pPr>
            <w:r>
              <w:rPr>
                <w:rFonts w:ascii="Times New Roman" w:hAnsi="Times New Roman"/>
                <w:sz w:val="20"/>
                <w:szCs w:val="20"/>
                <w:lang w:eastAsia="ar-SA"/>
              </w:rPr>
              <w:t xml:space="preserve">пункты </w:t>
            </w:r>
          </w:p>
          <w:p>
            <w:pPr>
              <w:widowControl w:val="off"/>
              <w:spacing w:after="0" w:line="240" w:lineRule="auto"/>
              <w:ind w:right="-108"/>
              <w:rPr>
                <w:rFonts w:ascii="Times New Roman" w:hAnsi="Times New Roman"/>
                <w:sz w:val="20"/>
                <w:szCs w:val="20"/>
                <w:lang w:eastAsia="ar-SA"/>
              </w:rPr>
            </w:pPr>
            <w:r>
              <w:rPr>
                <w:rFonts w:ascii="Times New Roman" w:hAnsi="Times New Roman"/>
                <w:sz w:val="20"/>
                <w:szCs w:val="20"/>
                <w:lang w:eastAsia="ar-SA"/>
              </w:rPr>
              <w:t xml:space="preserve">1, 2 таблицы приложения 2 к Программе</w:t>
            </w:r>
          </w:p>
        </w:tc>
      </w:tr>
      <w:tr>
        <w:trPr>
          <w:trHeight w:val="118"/>
        </w:trPr>
        <w:tc>
          <w:tcPr>
            <w:tcW w:w="16160" w:type="dxa"/>
            <w:gridSpan w:val="12"/>
            <w:tcBorders>
              <w:top w:val="single" w:color="000000" w:sz="4" w:space="0"/>
              <w:left w:val="single" w:color="000000" w:sz="4" w:space="0"/>
              <w:bottom w:val="single" w:color="auto" w:sz="4" w:space="0"/>
              <w:right w:val="single" w:color="000000" w:sz="4" w:space="0"/>
            </w:tcBorders>
          </w:tcPr>
          <w:p>
            <w:pPr>
              <w:widowControl w:val="o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Задача 2. Снижение расходов бюджета города Ставрополя на оплату за потребленные энергетические ресурсы</w:t>
            </w:r>
          </w:p>
          <w:p>
            <w:pPr>
              <w:widowControl w:val="off"/>
              <w:spacing w:after="0" w:line="240" w:lineRule="auto"/>
              <w:rPr>
                <w:rFonts w:ascii="Times New Roman" w:hAnsi="Times New Roman"/>
                <w:sz w:val="20"/>
                <w:szCs w:val="20"/>
                <w:lang w:eastAsia="ar-SA"/>
              </w:rPr>
            </w:pPr>
            <w:r>
              <w:rPr>
                <w:rFonts w:ascii="Times New Roman" w:hAnsi="Times New Roman" w:cs="Times New Roman"/>
                <w:sz w:val="20"/>
                <w:szCs w:val="20"/>
              </w:rPr>
              <w:t xml:space="preserve">Задача 3. Сокращение потерь энергетических ресурсов при их транспортировке</w:t>
            </w:r>
          </w:p>
        </w:tc>
      </w:tr>
      <w:tr>
        <w:trPr>
          <w:trHeight w:val="441"/>
        </w:trPr>
        <w:tc>
          <w:tcPr>
            <w:tcW w:w="567" w:type="dxa"/>
            <w:vMerge w:val="restart"/>
            <w:tcBorders>
              <w:top w:val="single" w:color="auto" w:sz="4" w:space="0"/>
              <w:left w:val="single" w:color="000000" w:sz="4" w:space="0"/>
              <w:right w:val="none"/>
            </w:tcBorders>
          </w:tcPr>
          <w:p>
            <w:pPr>
              <w:widowControl w:val="off"/>
              <w:spacing w:line="240" w:lineRule="auto"/>
              <w:ind w:left="-108"/>
              <w:jc w:val="center"/>
              <w:rPr>
                <w:rFonts w:ascii="Times New Roman" w:hAnsi="Times New Roman"/>
                <w:sz w:val="20"/>
                <w:szCs w:val="20"/>
                <w:lang w:eastAsia="ar-SA"/>
              </w:rPr>
            </w:pPr>
            <w:r>
              <w:rPr>
                <w:rFonts w:ascii="Times New Roman" w:hAnsi="Times New Roman"/>
                <w:sz w:val="20"/>
                <w:szCs w:val="20"/>
                <w:lang w:eastAsia="ar-SA"/>
              </w:rPr>
              <w:t xml:space="preserve">2.</w:t>
            </w:r>
          </w:p>
        </w:tc>
        <w:tc>
          <w:tcPr>
            <w:tcW w:w="2268" w:type="dxa"/>
            <w:vMerge w:val="restart"/>
            <w:tcBorders>
              <w:top w:val="single" w:color="auto" w:sz="4" w:space="0"/>
              <w:left w:val="single" w:color="000000" w:sz="4" w:space="0"/>
              <w:right w:val="none"/>
            </w:tcBorders>
          </w:tcPr>
          <w:p>
            <w:pPr>
              <w:spacing w:line="240" w:lineRule="auto"/>
              <w:rPr>
                <w:rFonts w:ascii="Times New Roman" w:hAnsi="Times New Roman" w:cs="Times New Roman"/>
                <w:sz w:val="20"/>
                <w:szCs w:val="20"/>
              </w:rPr>
            </w:pPr>
            <w:r>
              <w:rPr>
                <w:rFonts w:ascii="Times New Roman" w:hAnsi="Times New Roman" w:cs="Times New Roman"/>
                <w:sz w:val="20"/>
                <w:szCs w:val="20"/>
              </w:rPr>
              <w:t xml:space="preserve">Энергосбережение и </w:t>
            </w:r>
            <w:r>
              <w:rPr>
                <w:rFonts w:ascii="Times New Roman" w:hAnsi="Times New Roman" w:cs="Times New Roman"/>
                <w:sz w:val="20"/>
                <w:szCs w:val="20"/>
              </w:rPr>
              <w:t xml:space="preserve">энергоэффективность</w:t>
            </w:r>
            <w:r>
              <w:rPr>
                <w:rFonts w:ascii="Times New Roman" w:hAnsi="Times New Roman" w:cs="Times New Roman"/>
                <w:sz w:val="20"/>
                <w:szCs w:val="20"/>
              </w:rPr>
              <w:t xml:space="preserve"> в жилищном фонде</w:t>
            </w:r>
          </w:p>
        </w:tc>
        <w:tc>
          <w:tcPr>
            <w:tcW w:w="2694" w:type="dxa"/>
            <w:vMerge w:val="restart"/>
            <w:tcBorders>
              <w:top w:val="single" w:color="auto" w:sz="4" w:space="0"/>
              <w:left w:val="single" w:color="000000" w:sz="4" w:space="0"/>
              <w:right w:val="none"/>
            </w:tcBorders>
          </w:tcPr>
          <w:p>
            <w:pPr>
              <w:widowControl w:val="off"/>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комитет </w:t>
            </w:r>
            <w:r>
              <w:rPr>
                <w:rFonts w:ascii="Times New Roman" w:hAnsi="Times New Roman" w:cs="Times New Roman"/>
                <w:sz w:val="20"/>
                <w:szCs w:val="20"/>
              </w:rPr>
              <w:t xml:space="preserve">городского хозяйства администрации города Ставрополя</w:t>
            </w:r>
          </w:p>
        </w:tc>
        <w:tc>
          <w:tcPr>
            <w:tcW w:w="992" w:type="dxa"/>
            <w:vMerge w:val="restart"/>
            <w:tcBorders>
              <w:top w:val="single" w:color="auto" w:sz="4" w:space="0"/>
              <w:left w:val="single" w:color="000000" w:sz="4" w:space="0"/>
              <w:right w:val="none"/>
            </w:tcBorders>
          </w:tcPr>
          <w:p>
            <w:pPr>
              <w:widowControl w:val="off"/>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2023-2028</w:t>
            </w:r>
          </w:p>
        </w:tc>
        <w:tc>
          <w:tcPr>
            <w:tcW w:w="2126" w:type="dxa"/>
            <w:vMerge w:val="restart"/>
            <w:tcBorders>
              <w:top w:val="single" w:color="auto" w:sz="4" w:space="0"/>
              <w:left w:val="single" w:color="000000" w:sz="4" w:space="0"/>
              <w:right w:val="none"/>
            </w:tcBorders>
          </w:tcPr>
          <w:p>
            <w:pPr>
              <w:widowControl w:val="off"/>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Федеральный </w:t>
            </w:r>
            <w:hyperlink r:id="rId27" w:history="1">
              <w:r>
                <w:rPr>
                  <w:rStyle w:val="ListLabel1"/>
                  <w:rFonts w:ascii="Times New Roman" w:hAnsi="Times New Roman" w:cs="Times New Roman"/>
                  <w:color w:val="000000"/>
                  <w:sz w:val="20"/>
                  <w:szCs w:val="20"/>
                </w:rPr>
                <w:t xml:space="preserve">закон</w:t>
              </w:r>
            </w:hyperlink>
            <w:r>
              <w:rPr>
                <w:rFonts w:ascii="Times New Roman" w:hAnsi="Times New Roman" w:cs="Times New Roman"/>
                <w:color w:val="000000"/>
                <w:sz w:val="20"/>
                <w:szCs w:val="20"/>
              </w:rPr>
              <w:t xml:space="preserve"> от 23 ноября 2009 г. № 261-ФЗ</w:t>
            </w:r>
            <w:r>
              <w:rPr>
                <w:rFonts w:ascii="Times New Roman" w:hAnsi="Times New Roman" w:cs="Times New Roman"/>
                <w:sz w:val="20"/>
                <w:szCs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5811" w:type="dxa"/>
            <w:gridSpan w:val="6"/>
            <w:tcBorders>
              <w:top w:val="single" w:color="auto" w:sz="4" w:space="0"/>
              <w:left w:val="single" w:color="000000" w:sz="4" w:space="0"/>
              <w:bottom w:val="single" w:color="000000" w:sz="4" w:space="0"/>
              <w:right w:val="single" w:color="000000" w:sz="4" w:space="0"/>
            </w:tcBorders>
          </w:tcPr>
          <w:p>
            <w:pPr>
              <w:pStyle w:val="ConsPlusNormal"/>
              <w:jc w:val="center"/>
              <w:rPr>
                <w:sz w:val="20"/>
                <w:szCs w:val="20"/>
              </w:rPr>
            </w:pPr>
            <w:r>
              <w:rPr>
                <w:sz w:val="20"/>
                <w:szCs w:val="20"/>
              </w:rPr>
              <w:t xml:space="preserve">за счет средств собственников помещений в многоквартирных домах</w:t>
            </w:r>
          </w:p>
        </w:tc>
        <w:tc>
          <w:tcPr>
            <w:tcW w:w="1702" w:type="dxa"/>
            <w:vMerge w:val="restart"/>
            <w:tcBorders>
              <w:top w:val="single" w:color="auto" w:sz="4" w:space="0"/>
              <w:left w:val="single" w:color="000000" w:sz="4" w:space="0"/>
              <w:right w:val="single" w:color="000000" w:sz="4" w:space="0"/>
            </w:tcBorders>
          </w:tcPr>
          <w:p>
            <w:pPr>
              <w:widowControl w:val="off"/>
              <w:spacing w:after="0" w:line="240" w:lineRule="auto"/>
              <w:ind w:right="-108"/>
              <w:rPr>
                <w:rFonts w:ascii="Times New Roman" w:hAnsi="Times New Roman"/>
                <w:sz w:val="20"/>
                <w:szCs w:val="20"/>
                <w:lang w:eastAsia="ar-SA"/>
              </w:rPr>
            </w:pPr>
            <w:r>
              <w:rPr>
                <w:rFonts w:ascii="Times New Roman" w:hAnsi="Times New Roman"/>
                <w:sz w:val="20"/>
                <w:szCs w:val="20"/>
                <w:lang w:eastAsia="ar-SA"/>
              </w:rPr>
              <w:t xml:space="preserve">пункты </w:t>
            </w:r>
            <w:r>
              <w:rPr>
                <w:rFonts w:ascii="Times New Roman" w:hAnsi="Times New Roman"/>
                <w:sz w:val="20"/>
                <w:szCs w:val="20"/>
                <w:lang w:eastAsia="ar-SA"/>
              </w:rPr>
              <w:t xml:space="preserve">5-8</w:t>
            </w:r>
            <w:r>
              <w:rPr>
                <w:rFonts w:ascii="Times New Roman" w:hAnsi="Times New Roman"/>
                <w:sz w:val="20"/>
                <w:szCs w:val="20"/>
                <w:lang w:eastAsia="ar-SA"/>
              </w:rPr>
              <w:t xml:space="preserve"> таблицы приложения 2 к Программе</w:t>
            </w:r>
          </w:p>
        </w:tc>
      </w:tr>
      <w:tr>
        <w:trPr>
          <w:trHeight w:val="2284"/>
        </w:trPr>
        <w:tc>
          <w:tcPr>
            <w:tcW w:w="567" w:type="dxa"/>
            <w:vMerge w:val="continue"/>
            <w:tcBorders>
              <w:left w:val="single" w:color="000000" w:sz="4" w:space="0"/>
              <w:bottom w:val="single" w:color="000000" w:sz="4" w:space="0"/>
              <w:right w:val="none"/>
            </w:tcBorders>
          </w:tcPr>
          <w:p>
            <w:pPr>
              <w:widowControl w:val="off"/>
              <w:spacing w:after="0" w:line="240" w:lineRule="auto"/>
              <w:ind w:left="-108"/>
              <w:jc w:val="center"/>
              <w:rPr>
                <w:rFonts w:ascii="Times New Roman" w:hAnsi="Times New Roman"/>
                <w:sz w:val="20"/>
                <w:szCs w:val="20"/>
                <w:lang w:eastAsia="ar-SA"/>
              </w:rPr>
            </w:pPr>
          </w:p>
        </w:tc>
        <w:tc>
          <w:tcPr>
            <w:tcW w:w="2268" w:type="dxa"/>
            <w:vMerge w:val="continue"/>
            <w:tcBorders>
              <w:left w:val="single" w:color="000000" w:sz="4" w:space="0"/>
              <w:bottom w:val="single" w:color="000000" w:sz="4" w:space="0"/>
              <w:right w:val="none"/>
            </w:tcBorders>
          </w:tcPr>
          <w:p>
            <w:pPr>
              <w:spacing w:after="0" w:line="240" w:lineRule="auto"/>
              <w:rPr>
                <w:rFonts w:ascii="Times New Roman" w:hAnsi="Times New Roman"/>
                <w:sz w:val="20"/>
              </w:rPr>
            </w:pPr>
          </w:p>
        </w:tc>
        <w:tc>
          <w:tcPr>
            <w:tcW w:w="2694" w:type="dxa"/>
            <w:vMerge w:val="continue"/>
            <w:tcBorders>
              <w:left w:val="single" w:color="000000" w:sz="4" w:space="0"/>
              <w:bottom w:val="single" w:color="000000" w:sz="4" w:space="0"/>
              <w:right w:val="none"/>
            </w:tcBorders>
          </w:tcPr>
          <w:p>
            <w:pPr>
              <w:widowControl w:val="off"/>
              <w:spacing w:after="0" w:line="240" w:lineRule="auto"/>
              <w:jc w:val="both"/>
              <w:rPr>
                <w:rFonts w:ascii="Times New Roman" w:hAnsi="Times New Roman"/>
                <w:sz w:val="20"/>
                <w:szCs w:val="20"/>
                <w:lang w:eastAsia="ar-SA"/>
              </w:rPr>
            </w:pPr>
          </w:p>
        </w:tc>
        <w:tc>
          <w:tcPr>
            <w:tcW w:w="992" w:type="dxa"/>
            <w:vMerge w:val="continue"/>
            <w:tcBorders>
              <w:left w:val="single" w:color="000000" w:sz="4" w:space="0"/>
              <w:bottom w:val="single" w:color="000000" w:sz="4" w:space="0"/>
              <w:right w:val="none"/>
            </w:tcBorders>
          </w:tcPr>
          <w:p>
            <w:pPr>
              <w:widowControl w:val="off"/>
              <w:spacing w:after="0" w:line="240" w:lineRule="auto"/>
              <w:jc w:val="center"/>
              <w:rPr>
                <w:rFonts w:ascii="Times New Roman" w:hAnsi="Times New Roman"/>
                <w:sz w:val="20"/>
                <w:szCs w:val="20"/>
                <w:lang w:eastAsia="ar-SA"/>
              </w:rPr>
            </w:pPr>
          </w:p>
        </w:tc>
        <w:tc>
          <w:tcPr>
            <w:tcW w:w="2126" w:type="dxa"/>
            <w:vMerge w:val="continue"/>
            <w:tcBorders>
              <w:left w:val="single" w:color="000000" w:sz="4" w:space="0"/>
              <w:bottom w:val="single" w:color="000000" w:sz="4" w:space="0"/>
              <w:right w:val="none"/>
            </w:tcBorders>
          </w:tcPr>
          <w:p>
            <w:pPr>
              <w:widowControl w:val="off"/>
              <w:spacing w:after="0" w:line="240" w:lineRule="auto"/>
              <w:rPr>
                <w:rFonts w:ascii="Times New Roman" w:hAnsi="Times New Roman"/>
                <w:sz w:val="20"/>
                <w:szCs w:val="20"/>
              </w:rPr>
            </w:pPr>
          </w:p>
        </w:tc>
        <w:tc>
          <w:tcPr>
            <w:tcW w:w="968" w:type="dxa"/>
            <w:tcBorders>
              <w:top w:val="single" w:color="000000" w:sz="4" w:space="0"/>
              <w:left w:val="single" w:color="000000" w:sz="4" w:space="0"/>
              <w:bottom w:val="single" w:color="000000" w:sz="4" w:space="0"/>
              <w:right w:val="none"/>
            </w:tcBorders>
          </w:tcPr>
          <w:p>
            <w:pPr>
              <w:pStyle w:val="ConsPlusNormal"/>
              <w:jc w:val="center"/>
              <w:rPr>
                <w:sz w:val="16"/>
                <w:szCs w:val="16"/>
              </w:rPr>
            </w:pPr>
            <w:r>
              <w:rPr>
                <w:sz w:val="16"/>
                <w:szCs w:val="16"/>
              </w:rPr>
              <w:t xml:space="preserve">16604,25</w:t>
            </w:r>
          </w:p>
        </w:tc>
        <w:tc>
          <w:tcPr>
            <w:tcW w:w="969" w:type="dxa"/>
            <w:tcBorders>
              <w:top w:val="single" w:color="000000" w:sz="4" w:space="0"/>
              <w:left w:val="single" w:color="000000" w:sz="4" w:space="0"/>
              <w:bottom w:val="single" w:color="000000" w:sz="4" w:space="0"/>
              <w:right w:val="none"/>
            </w:tcBorders>
          </w:tcPr>
          <w:p>
            <w:pPr>
              <w:pStyle w:val="ConsPlusNormal"/>
              <w:jc w:val="center"/>
              <w:rPr>
                <w:sz w:val="16"/>
                <w:szCs w:val="16"/>
              </w:rPr>
            </w:pPr>
            <w:r>
              <w:rPr>
                <w:sz w:val="16"/>
                <w:szCs w:val="16"/>
              </w:rPr>
              <w:t xml:space="preserve">17666,96</w:t>
            </w:r>
          </w:p>
        </w:tc>
        <w:tc>
          <w:tcPr>
            <w:tcW w:w="968" w:type="dxa"/>
            <w:tcBorders>
              <w:top w:val="single" w:color="000000" w:sz="4" w:space="0"/>
              <w:left w:val="single" w:color="000000" w:sz="4" w:space="0"/>
              <w:bottom w:val="single" w:color="000000" w:sz="4" w:space="0"/>
              <w:right w:val="single" w:color="000000" w:sz="4" w:space="0"/>
            </w:tcBorders>
          </w:tcPr>
          <w:p>
            <w:pPr>
              <w:pStyle w:val="ConsPlusNormal"/>
              <w:jc w:val="center"/>
              <w:rPr>
                <w:sz w:val="16"/>
                <w:szCs w:val="16"/>
              </w:rPr>
            </w:pPr>
            <w:r>
              <w:rPr>
                <w:sz w:val="16"/>
                <w:szCs w:val="16"/>
              </w:rPr>
              <w:t xml:space="preserve">17666,96</w:t>
            </w:r>
          </w:p>
        </w:tc>
        <w:tc>
          <w:tcPr>
            <w:tcW w:w="969" w:type="dxa"/>
            <w:tcBorders>
              <w:top w:val="single" w:color="000000" w:sz="4" w:space="0"/>
              <w:left w:val="single" w:color="000000" w:sz="4" w:space="0"/>
              <w:bottom w:val="single" w:color="000000" w:sz="4" w:space="0"/>
              <w:right w:val="single" w:color="000000" w:sz="4" w:space="0"/>
            </w:tcBorders>
          </w:tcPr>
          <w:p>
            <w:pPr>
              <w:pStyle w:val="ConsPlusNormal"/>
              <w:jc w:val="center"/>
              <w:rPr>
                <w:sz w:val="16"/>
                <w:szCs w:val="16"/>
              </w:rPr>
            </w:pPr>
            <w:r>
              <w:rPr>
                <w:sz w:val="16"/>
                <w:szCs w:val="16"/>
              </w:rPr>
              <w:t xml:space="preserve">17666,96</w:t>
            </w:r>
          </w:p>
        </w:tc>
        <w:tc>
          <w:tcPr>
            <w:tcW w:w="968" w:type="dxa"/>
            <w:tcBorders>
              <w:top w:val="single" w:color="000000" w:sz="4" w:space="0"/>
              <w:left w:val="single" w:color="000000" w:sz="4" w:space="0"/>
              <w:bottom w:val="single" w:color="000000" w:sz="4" w:space="0"/>
              <w:right w:val="single" w:color="000000" w:sz="4" w:space="0"/>
            </w:tcBorders>
          </w:tcPr>
          <w:p>
            <w:pPr>
              <w:pStyle w:val="ConsPlusNormal"/>
              <w:jc w:val="center"/>
              <w:rPr>
                <w:sz w:val="16"/>
                <w:szCs w:val="16"/>
              </w:rPr>
            </w:pPr>
            <w:r>
              <w:rPr>
                <w:sz w:val="16"/>
                <w:szCs w:val="16"/>
              </w:rPr>
              <w:t xml:space="preserve">17666,96</w:t>
            </w:r>
          </w:p>
        </w:tc>
        <w:tc>
          <w:tcPr>
            <w:tcW w:w="969" w:type="dxa"/>
            <w:tcBorders>
              <w:top w:val="single" w:color="000000" w:sz="4" w:space="0"/>
              <w:left w:val="single" w:color="000000" w:sz="4" w:space="0"/>
              <w:bottom w:val="single" w:color="000000" w:sz="4" w:space="0"/>
              <w:right w:val="single" w:color="000000" w:sz="4" w:space="0"/>
            </w:tcBorders>
          </w:tcPr>
          <w:p>
            <w:pPr>
              <w:pStyle w:val="ConsPlusNormal"/>
              <w:jc w:val="center"/>
              <w:rPr>
                <w:sz w:val="16"/>
                <w:szCs w:val="16"/>
              </w:rPr>
            </w:pPr>
            <w:r>
              <w:rPr>
                <w:sz w:val="16"/>
                <w:szCs w:val="16"/>
              </w:rPr>
              <w:t xml:space="preserve">17666,96</w:t>
            </w:r>
          </w:p>
        </w:tc>
        <w:tc>
          <w:tcPr>
            <w:tcW w:w="1702" w:type="dxa"/>
            <w:vMerge w:val="continue"/>
            <w:tcBorders>
              <w:left w:val="single" w:color="000000" w:sz="4" w:space="0"/>
              <w:bottom w:val="single" w:color="000000" w:sz="4" w:space="0"/>
              <w:right w:val="single" w:color="000000" w:sz="4" w:space="0"/>
            </w:tcBorders>
          </w:tcPr>
          <w:p>
            <w:pPr>
              <w:widowControl w:val="off"/>
              <w:spacing w:after="0" w:line="240" w:lineRule="auto"/>
              <w:rPr>
                <w:rFonts w:ascii="Times New Roman" w:hAnsi="Times New Roman"/>
                <w:sz w:val="20"/>
                <w:szCs w:val="20"/>
                <w:lang w:eastAsia="ar-SA"/>
              </w:rPr>
            </w:pPr>
          </w:p>
        </w:tc>
      </w:tr>
      <w:tr>
        <w:trPr>
          <w:trHeight w:val="385"/>
        </w:trPr>
        <w:tc>
          <w:tcPr>
            <w:tcW w:w="16160" w:type="dxa"/>
            <w:gridSpan w:val="12"/>
            <w:tcBorders>
              <w:top w:val="single" w:color="000000" w:sz="4" w:space="0"/>
              <w:left w:val="single" w:color="000000" w:sz="4" w:space="0"/>
              <w:bottom w:val="single" w:color="auto" w:sz="4" w:space="0"/>
              <w:right w:val="single" w:color="000000" w:sz="4" w:space="0"/>
            </w:tcBorders>
          </w:tcPr>
          <w:p>
            <w:pPr>
              <w:pStyle w:val="ConsPlusNormal"/>
              <w:rPr>
                <w:sz w:val="20"/>
                <w:szCs w:val="20"/>
                <w:lang w:eastAsia="ar-SA"/>
              </w:rPr>
            </w:pPr>
            <w:r>
              <w:rPr>
                <w:sz w:val="20"/>
                <w:szCs w:val="20"/>
              </w:rPr>
              <w:t xml:space="preserve">Задача 4. Повышение эффективности энергопотребления путем внедрения современных энергосберегающих технологий и оборудования в бюджетном секторе, в жилищном фонде и системах коммунальной инфраструктуры</w:t>
            </w:r>
          </w:p>
        </w:tc>
      </w:tr>
      <w:tr>
        <w:trPr>
          <w:trHeight w:val="280"/>
        </w:trPr>
        <w:tc>
          <w:tcPr>
            <w:tcW w:w="567" w:type="dxa"/>
            <w:vMerge w:val="restart"/>
            <w:tcBorders>
              <w:top w:val="single" w:color="auto" w:sz="4" w:space="0"/>
              <w:left w:val="single" w:color="000000" w:sz="4" w:space="0"/>
              <w:right w:val="none"/>
            </w:tcBorders>
          </w:tcPr>
          <w:p>
            <w:pPr>
              <w:widowControl w:val="off"/>
              <w:spacing w:line="240" w:lineRule="auto"/>
              <w:rPr>
                <w:rFonts w:ascii="Times New Roman" w:hAnsi="Times New Roman"/>
                <w:sz w:val="20"/>
                <w:szCs w:val="20"/>
                <w:lang w:eastAsia="ar-SA"/>
              </w:rPr>
            </w:pPr>
            <w:r>
              <w:rPr>
                <w:rFonts w:ascii="Times New Roman" w:hAnsi="Times New Roman"/>
                <w:sz w:val="20"/>
                <w:szCs w:val="20"/>
                <w:lang w:eastAsia="ar-SA"/>
              </w:rPr>
              <w:t xml:space="preserve">3.</w:t>
            </w:r>
          </w:p>
        </w:tc>
        <w:tc>
          <w:tcPr>
            <w:tcW w:w="2268" w:type="dxa"/>
            <w:vMerge w:val="restart"/>
            <w:tcBorders>
              <w:top w:val="single" w:color="auto" w:sz="4" w:space="0"/>
              <w:left w:val="single" w:color="000000" w:sz="4" w:space="0"/>
              <w:right w:val="none"/>
            </w:tcBorders>
          </w:tcPr>
          <w:p>
            <w:pPr>
              <w:widowControl w:val="off"/>
              <w:spacing w:line="240" w:lineRule="auto"/>
              <w:rPr>
                <w:rFonts w:ascii="Times New Roman" w:hAnsi="Times New Roman" w:cs="Times New Roman"/>
                <w:sz w:val="20"/>
                <w:szCs w:val="20"/>
              </w:rPr>
            </w:pPr>
            <w:r>
              <w:rPr>
                <w:rFonts w:ascii="Times New Roman" w:hAnsi="Times New Roman" w:cs="Times New Roman"/>
                <w:sz w:val="20"/>
                <w:szCs w:val="20"/>
              </w:rPr>
              <w:t xml:space="preserve">Энергосбережение и </w:t>
            </w:r>
            <w:r>
              <w:rPr>
                <w:rFonts w:ascii="Times New Roman" w:hAnsi="Times New Roman" w:cs="Times New Roman"/>
                <w:sz w:val="20"/>
                <w:szCs w:val="20"/>
              </w:rPr>
              <w:t xml:space="preserve">энергоэффективность</w:t>
            </w:r>
            <w:r>
              <w:rPr>
                <w:rFonts w:ascii="Times New Roman" w:hAnsi="Times New Roman" w:cs="Times New Roman"/>
                <w:sz w:val="20"/>
                <w:szCs w:val="20"/>
              </w:rPr>
              <w:t xml:space="preserve"> систем коммунальной инфраструктуры</w:t>
            </w:r>
          </w:p>
        </w:tc>
        <w:tc>
          <w:tcPr>
            <w:tcW w:w="2694" w:type="dxa"/>
            <w:vMerge w:val="restart"/>
            <w:tcBorders>
              <w:top w:val="single" w:color="auto" w:sz="4" w:space="0"/>
              <w:left w:val="single" w:color="000000" w:sz="4" w:space="0"/>
              <w:right w:val="single" w:color="auto" w:sz="4" w:space="0"/>
            </w:tcBorders>
          </w:tcPr>
          <w:p>
            <w:pPr>
              <w:pStyle w:val="ConsPlusNormal"/>
              <w:rPr>
                <w:sz w:val="20"/>
                <w:szCs w:val="20"/>
              </w:rPr>
            </w:pPr>
            <w:r>
              <w:rPr>
                <w:sz w:val="20"/>
                <w:szCs w:val="20"/>
              </w:rPr>
              <w:t xml:space="preserve">комитет городского хозяйства администрации</w:t>
            </w:r>
          </w:p>
          <w:p>
            <w:pPr>
              <w:pStyle w:val="ConsPlusNormal"/>
              <w:rPr>
                <w:sz w:val="20"/>
                <w:szCs w:val="20"/>
              </w:rPr>
            </w:pPr>
            <w:r>
              <w:rPr>
                <w:sz w:val="20"/>
                <w:szCs w:val="20"/>
              </w:rPr>
              <w:t xml:space="preserve">города Ставрополя;</w:t>
            </w:r>
          </w:p>
          <w:p>
            <w:pPr>
              <w:pStyle w:val="ConsPlusNormal"/>
              <w:rPr>
                <w:sz w:val="20"/>
                <w:szCs w:val="20"/>
              </w:rPr>
            </w:pPr>
            <w:r>
              <w:rPr>
                <w:sz w:val="20"/>
                <w:szCs w:val="20"/>
              </w:rPr>
              <w:t xml:space="preserve">комитет по управлению муниципальным имуществом города Ставрополя;</w:t>
            </w:r>
          </w:p>
          <w:p>
            <w:pPr>
              <w:pStyle w:val="ConsPlusNormal"/>
              <w:rPr>
                <w:sz w:val="20"/>
                <w:szCs w:val="20"/>
              </w:rPr>
            </w:pPr>
            <w:r>
              <w:rPr>
                <w:sz w:val="20"/>
                <w:szCs w:val="20"/>
              </w:rPr>
              <w:t xml:space="preserve">муниципальное унитарное </w:t>
            </w:r>
            <w:r>
              <w:rPr>
                <w:sz w:val="20"/>
                <w:szCs w:val="20"/>
              </w:rPr>
              <w:t xml:space="preserve">предприятие «ВОДОКАНАЛ» города Ставрополя;</w:t>
            </w:r>
          </w:p>
          <w:p>
            <w:pPr>
              <w:pStyle w:val="ConsPlusNormal"/>
              <w:rPr>
                <w:sz w:val="20"/>
                <w:szCs w:val="20"/>
              </w:rPr>
            </w:pPr>
            <w:r>
              <w:rPr>
                <w:sz w:val="20"/>
                <w:szCs w:val="20"/>
              </w:rPr>
              <w:t xml:space="preserve">акционерное общество «Теплосеть»; акци</w:t>
            </w:r>
            <w:r>
              <w:rPr>
                <w:sz w:val="20"/>
                <w:szCs w:val="20"/>
              </w:rPr>
              <w:t xml:space="preserve">онерное общество «</w:t>
            </w:r>
            <w:r>
              <w:rPr>
                <w:sz w:val="20"/>
                <w:szCs w:val="20"/>
              </w:rPr>
              <w:t xml:space="preserve">Горэлектросеть</w:t>
            </w:r>
            <w:r>
              <w:rPr>
                <w:sz w:val="20"/>
                <w:szCs w:val="20"/>
              </w:rPr>
              <w:t xml:space="preserve">»</w:t>
            </w:r>
          </w:p>
        </w:tc>
        <w:tc>
          <w:tcPr>
            <w:tcW w:w="992" w:type="dxa"/>
            <w:vMerge w:val="restart"/>
            <w:tcBorders>
              <w:top w:val="single" w:color="auto" w:sz="4" w:space="0"/>
              <w:left w:val="single" w:color="auto" w:sz="4" w:space="0"/>
              <w:right w:val="none"/>
            </w:tcBorders>
          </w:tcPr>
          <w:p>
            <w:pPr>
              <w:widowControl w:val="off"/>
              <w:spacing w:line="240" w:lineRule="auto"/>
              <w:jc w:val="center"/>
              <w:rPr>
                <w:rFonts w:ascii="Times New Roman" w:hAnsi="Times New Roman"/>
                <w:sz w:val="20"/>
                <w:szCs w:val="20"/>
                <w:lang w:eastAsia="ar-SA"/>
              </w:rPr>
            </w:pPr>
            <w:r>
              <w:rPr>
                <w:rFonts w:ascii="Times New Roman" w:hAnsi="Times New Roman"/>
                <w:sz w:val="20"/>
                <w:szCs w:val="20"/>
                <w:lang w:eastAsia="ar-SA"/>
              </w:rPr>
              <w:t xml:space="preserve">2023-2028</w:t>
            </w:r>
          </w:p>
        </w:tc>
        <w:tc>
          <w:tcPr>
            <w:tcW w:w="2126" w:type="dxa"/>
            <w:vMerge w:val="restart"/>
            <w:tcBorders>
              <w:top w:val="single" w:color="auto" w:sz="4" w:space="0"/>
              <w:left w:val="single" w:color="000000" w:sz="4" w:space="0"/>
              <w:right w:val="none"/>
            </w:tcBorders>
          </w:tcPr>
          <w:p>
            <w:pPr>
              <w:widowControl w:val="off"/>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Федеральный</w:t>
            </w:r>
            <w:r>
              <w:rPr>
                <w:rFonts w:ascii="Times New Roman" w:hAnsi="Times New Roman" w:cs="Times New Roman"/>
                <w:color w:val="000000"/>
                <w:sz w:val="20"/>
                <w:szCs w:val="20"/>
              </w:rPr>
              <w:t xml:space="preserve"> </w:t>
            </w:r>
            <w:hyperlink r:id="rId28" w:history="1">
              <w:r>
                <w:rPr>
                  <w:rStyle w:val="ListLabel1"/>
                  <w:rFonts w:ascii="Times New Roman" w:hAnsi="Times New Roman" w:cs="Times New Roman"/>
                  <w:color w:val="000000"/>
                  <w:sz w:val="20"/>
                  <w:szCs w:val="20"/>
                </w:rPr>
                <w:t xml:space="preserve">закон</w:t>
              </w:r>
            </w:hyperlink>
            <w:r>
              <w:rPr>
                <w:rFonts w:ascii="Times New Roman" w:hAnsi="Times New Roman" w:cs="Times New Roman"/>
                <w:color w:val="000000"/>
                <w:sz w:val="20"/>
                <w:szCs w:val="20"/>
              </w:rPr>
              <w:t xml:space="preserve"> от 23 ноября 2009 г. № 261-ФЗ</w:t>
            </w:r>
            <w:r>
              <w:rPr>
                <w:rFonts w:ascii="Times New Roman" w:hAnsi="Times New Roman" w:cs="Times New Roman"/>
                <w:sz w:val="20"/>
                <w:szCs w:val="20"/>
              </w:rPr>
              <w:t xml:space="preserve"> «Об энергосбережении и о повышении энергетической эффективности и о внесении изменений в отдельные </w:t>
            </w:r>
            <w:r>
              <w:rPr>
                <w:rFonts w:ascii="Times New Roman" w:hAnsi="Times New Roman" w:cs="Times New Roman"/>
                <w:sz w:val="20"/>
                <w:szCs w:val="20"/>
              </w:rPr>
              <w:t xml:space="preserve">законодательные акты Российской </w:t>
            </w:r>
            <w:r>
              <w:rPr>
                <w:rFonts w:ascii="Times New Roman" w:hAnsi="Times New Roman" w:cs="Times New Roman"/>
                <w:sz w:val="20"/>
                <w:szCs w:val="20"/>
              </w:rPr>
              <w:t xml:space="preserve">Федерации»</w:t>
            </w:r>
          </w:p>
        </w:tc>
        <w:tc>
          <w:tcPr>
            <w:tcW w:w="5811" w:type="dxa"/>
            <w:gridSpan w:val="6"/>
            <w:tcBorders>
              <w:top w:val="single" w:color="auto" w:sz="4" w:space="0"/>
              <w:left w:val="single" w:color="000000" w:sz="4" w:space="0"/>
              <w:right w:val="single" w:color="000000" w:sz="4" w:space="0"/>
            </w:tcBorders>
          </w:tcPr>
          <w:p>
            <w:pPr>
              <w:pStyle w:val="ConsPlusNormal"/>
              <w:jc w:val="center"/>
              <w:rPr>
                <w:sz w:val="20"/>
                <w:szCs w:val="20"/>
              </w:rPr>
            </w:pPr>
            <w:r>
              <w:rPr>
                <w:sz w:val="20"/>
                <w:szCs w:val="20"/>
              </w:rPr>
              <w:t xml:space="preserve">за счет средств бюджета города Ставрополя</w:t>
            </w:r>
          </w:p>
        </w:tc>
        <w:tc>
          <w:tcPr>
            <w:tcW w:w="1702" w:type="dxa"/>
            <w:vMerge w:val="restart"/>
            <w:tcBorders>
              <w:top w:val="single" w:color="auto" w:sz="4" w:space="0"/>
              <w:left w:val="single" w:color="000000" w:sz="4" w:space="0"/>
              <w:right w:val="single" w:color="000000" w:sz="4" w:space="0"/>
            </w:tcBorders>
          </w:tcPr>
          <w:p>
            <w:pPr>
              <w:widowControl w:val="off"/>
              <w:spacing w:after="0" w:line="240" w:lineRule="auto"/>
              <w:ind w:right="-108"/>
              <w:rPr>
                <w:rFonts w:ascii="Times New Roman" w:hAnsi="Times New Roman"/>
                <w:sz w:val="20"/>
                <w:szCs w:val="20"/>
                <w:lang w:eastAsia="ar-SA"/>
              </w:rPr>
            </w:pPr>
            <w:r>
              <w:rPr>
                <w:rFonts w:ascii="Times New Roman" w:hAnsi="Times New Roman"/>
                <w:sz w:val="20"/>
                <w:szCs w:val="20"/>
                <w:lang w:eastAsia="ar-SA"/>
              </w:rPr>
              <w:t xml:space="preserve">пункты 1</w:t>
            </w:r>
            <w:r>
              <w:rPr>
                <w:rFonts w:ascii="Times New Roman" w:hAnsi="Times New Roman"/>
                <w:sz w:val="20"/>
                <w:szCs w:val="20"/>
                <w:lang w:eastAsia="ar-SA"/>
              </w:rPr>
              <w:t xml:space="preserve">5-</w:t>
            </w:r>
            <w:r>
              <w:rPr>
                <w:rFonts w:ascii="Times New Roman" w:hAnsi="Times New Roman"/>
                <w:sz w:val="20"/>
                <w:szCs w:val="20"/>
                <w:lang w:eastAsia="ar-SA"/>
              </w:rPr>
              <w:t xml:space="preserve">2</w:t>
            </w:r>
            <w:r>
              <w:rPr>
                <w:rFonts w:ascii="Times New Roman" w:hAnsi="Times New Roman"/>
                <w:sz w:val="20"/>
                <w:szCs w:val="20"/>
                <w:lang w:eastAsia="ar-SA"/>
              </w:rPr>
              <w:t xml:space="preserve">1</w:t>
            </w:r>
            <w:r>
              <w:rPr>
                <w:rFonts w:ascii="Times New Roman" w:hAnsi="Times New Roman"/>
                <w:sz w:val="20"/>
                <w:szCs w:val="20"/>
                <w:lang w:eastAsia="ar-SA"/>
              </w:rPr>
              <w:t xml:space="preserve"> таблицы приложения 2 к Программе</w:t>
            </w:r>
          </w:p>
        </w:tc>
      </w:tr>
      <w:tr>
        <w:trPr>
          <w:trHeight w:val="70"/>
        </w:trPr>
        <w:tc>
          <w:tcPr>
            <w:tcW w:w="567" w:type="dxa"/>
            <w:vMerge w:val="continue"/>
            <w:tcBorders>
              <w:left w:val="single" w:color="000000" w:sz="4" w:space="0"/>
              <w:right w:val="none"/>
            </w:tcBorders>
          </w:tcPr>
          <w:p>
            <w:pPr>
              <w:widowControl w:val="off"/>
              <w:spacing w:after="0" w:line="240" w:lineRule="auto"/>
              <w:ind w:left="-108"/>
              <w:jc w:val="center"/>
              <w:rPr>
                <w:rFonts w:ascii="Times New Roman" w:hAnsi="Times New Roman"/>
                <w:sz w:val="20"/>
                <w:szCs w:val="20"/>
                <w:highlight w:val="yellow"/>
                <w:lang w:eastAsia="ar-SA"/>
              </w:rPr>
            </w:pPr>
          </w:p>
        </w:tc>
        <w:tc>
          <w:tcPr>
            <w:tcW w:w="2268" w:type="dxa"/>
            <w:vMerge w:val="continue"/>
            <w:tcBorders>
              <w:left w:val="single" w:color="000000" w:sz="4" w:space="0"/>
              <w:right w:val="none"/>
            </w:tcBorders>
          </w:tcPr>
          <w:p>
            <w:pPr>
              <w:widowControl w:val="off"/>
              <w:spacing w:after="0" w:line="240" w:lineRule="auto"/>
              <w:rPr>
                <w:rFonts w:ascii="Times New Roman" w:hAnsi="Times New Roman"/>
                <w:sz w:val="20"/>
                <w:szCs w:val="20"/>
                <w:highlight w:val="yellow"/>
                <w:lang w:eastAsia="ar-SA"/>
              </w:rPr>
            </w:pPr>
          </w:p>
        </w:tc>
        <w:tc>
          <w:tcPr>
            <w:tcW w:w="2694" w:type="dxa"/>
            <w:vMerge w:val="continue"/>
            <w:tcBorders>
              <w:left w:val="single" w:color="000000" w:sz="4" w:space="0"/>
              <w:bottom w:val="single" w:color="auto" w:sz="4" w:space="0"/>
              <w:right w:val="single" w:color="auto" w:sz="4" w:space="0"/>
            </w:tcBorders>
          </w:tcPr>
          <w:p>
            <w:pPr>
              <w:widowControl w:val="off"/>
              <w:spacing w:after="0" w:line="240" w:lineRule="auto"/>
              <w:jc w:val="both"/>
              <w:rPr>
                <w:rFonts w:ascii="Times New Roman" w:hAnsi="Times New Roman"/>
                <w:sz w:val="20"/>
                <w:szCs w:val="20"/>
                <w:highlight w:val="yellow"/>
                <w:lang w:eastAsia="ar-SA"/>
              </w:rPr>
            </w:pPr>
          </w:p>
        </w:tc>
        <w:tc>
          <w:tcPr>
            <w:tcW w:w="992" w:type="dxa"/>
            <w:vMerge w:val="continue"/>
            <w:tcBorders>
              <w:left w:val="single" w:color="auto" w:sz="4" w:space="0"/>
              <w:right w:val="none"/>
            </w:tcBorders>
          </w:tcPr>
          <w:p>
            <w:pPr>
              <w:widowControl w:val="off"/>
              <w:spacing w:after="0" w:line="240" w:lineRule="auto"/>
              <w:jc w:val="center"/>
              <w:rPr>
                <w:rFonts w:ascii="Times New Roman" w:hAnsi="Times New Roman"/>
                <w:sz w:val="20"/>
                <w:szCs w:val="20"/>
                <w:highlight w:val="yellow"/>
                <w:lang w:eastAsia="ar-SA"/>
              </w:rPr>
            </w:pPr>
          </w:p>
        </w:tc>
        <w:tc>
          <w:tcPr>
            <w:tcW w:w="2126" w:type="dxa"/>
            <w:vMerge w:val="continue"/>
            <w:tcBorders>
              <w:left w:val="single" w:color="000000" w:sz="4" w:space="0"/>
              <w:right w:val="none"/>
            </w:tcBorders>
          </w:tcPr>
          <w:p>
            <w:pPr>
              <w:widowControl w:val="off"/>
              <w:spacing w:after="0" w:line="240" w:lineRule="auto"/>
              <w:rPr>
                <w:rFonts w:ascii="Times New Roman" w:hAnsi="Times New Roman"/>
                <w:sz w:val="20"/>
                <w:szCs w:val="20"/>
                <w:highlight w:val="yellow"/>
              </w:rPr>
            </w:pPr>
          </w:p>
        </w:tc>
        <w:tc>
          <w:tcPr>
            <w:tcW w:w="968" w:type="dxa"/>
            <w:tcBorders>
              <w:top w:val="single" w:color="000000" w:sz="4" w:space="0"/>
              <w:left w:val="single" w:color="000000" w:sz="4" w:space="0"/>
              <w:bottom w:val="single" w:color="auto" w:sz="4" w:space="0"/>
              <w:right w:val="none"/>
            </w:tcBorders>
          </w:tcPr>
          <w:p>
            <w:pPr>
              <w:pStyle w:val="ConsPlusNormal"/>
              <w:jc w:val="center"/>
              <w:rPr>
                <w:sz w:val="16"/>
                <w:szCs w:val="16"/>
              </w:rPr>
            </w:pPr>
            <w:r>
              <w:rPr>
                <w:sz w:val="16"/>
                <w:szCs w:val="16"/>
              </w:rPr>
              <w:t xml:space="preserve">3385,52</w:t>
            </w:r>
          </w:p>
        </w:tc>
        <w:tc>
          <w:tcPr>
            <w:tcW w:w="969" w:type="dxa"/>
            <w:tcBorders>
              <w:top w:val="single" w:color="000000" w:sz="4" w:space="0"/>
              <w:left w:val="single" w:color="000000" w:sz="4" w:space="0"/>
              <w:bottom w:val="single" w:color="auto" w:sz="4" w:space="0"/>
              <w:right w:val="none"/>
            </w:tcBorders>
          </w:tcPr>
          <w:p>
            <w:pPr>
              <w:pStyle w:val="ConsPlusNormal"/>
              <w:jc w:val="center"/>
              <w:rPr>
                <w:sz w:val="16"/>
                <w:szCs w:val="16"/>
              </w:rPr>
            </w:pPr>
            <w:r>
              <w:rPr>
                <w:sz w:val="16"/>
                <w:szCs w:val="16"/>
              </w:rPr>
              <w:t xml:space="preserve">3385,52</w:t>
            </w:r>
          </w:p>
        </w:tc>
        <w:tc>
          <w:tcPr>
            <w:tcW w:w="968" w:type="dxa"/>
            <w:tcBorders>
              <w:top w:val="single" w:color="000000" w:sz="4" w:space="0"/>
              <w:left w:val="single" w:color="000000" w:sz="4" w:space="0"/>
              <w:bottom w:val="single" w:color="auto" w:sz="4" w:space="0"/>
              <w:right w:val="single" w:color="000000" w:sz="4" w:space="0"/>
            </w:tcBorders>
          </w:tcPr>
          <w:p>
            <w:pPr>
              <w:pStyle w:val="ConsPlusNormal"/>
              <w:jc w:val="center"/>
              <w:rPr>
                <w:sz w:val="16"/>
                <w:szCs w:val="16"/>
              </w:rPr>
            </w:pPr>
            <w:r>
              <w:rPr>
                <w:sz w:val="16"/>
                <w:szCs w:val="16"/>
              </w:rPr>
              <w:t xml:space="preserve">3385,52</w:t>
            </w:r>
          </w:p>
        </w:tc>
        <w:tc>
          <w:tcPr>
            <w:tcW w:w="969" w:type="dxa"/>
            <w:tcBorders>
              <w:top w:val="single" w:color="000000" w:sz="4" w:space="0"/>
              <w:left w:val="single" w:color="000000" w:sz="4" w:space="0"/>
              <w:bottom w:val="single" w:color="auto" w:sz="4" w:space="0"/>
              <w:right w:val="single" w:color="000000" w:sz="4" w:space="0"/>
            </w:tcBorders>
          </w:tcPr>
          <w:p>
            <w:pPr>
              <w:pStyle w:val="ConsPlusNormal"/>
              <w:jc w:val="center"/>
              <w:rPr>
                <w:sz w:val="16"/>
                <w:szCs w:val="16"/>
              </w:rPr>
            </w:pPr>
            <w:r>
              <w:rPr>
                <w:sz w:val="16"/>
                <w:szCs w:val="16"/>
              </w:rPr>
              <w:t xml:space="preserve">3385,52</w:t>
            </w:r>
          </w:p>
        </w:tc>
        <w:tc>
          <w:tcPr>
            <w:tcW w:w="968" w:type="dxa"/>
            <w:tcBorders>
              <w:top w:val="single" w:color="000000" w:sz="4" w:space="0"/>
              <w:left w:val="single" w:color="000000" w:sz="4" w:space="0"/>
              <w:bottom w:val="single" w:color="auto" w:sz="4" w:space="0"/>
              <w:right w:val="single" w:color="000000" w:sz="4" w:space="0"/>
            </w:tcBorders>
          </w:tcPr>
          <w:p>
            <w:pPr>
              <w:pStyle w:val="ConsPlusNormal"/>
              <w:jc w:val="center"/>
              <w:rPr>
                <w:sz w:val="16"/>
                <w:szCs w:val="16"/>
              </w:rPr>
            </w:pPr>
            <w:r>
              <w:rPr>
                <w:sz w:val="16"/>
                <w:szCs w:val="16"/>
              </w:rPr>
              <w:t xml:space="preserve">3385,52</w:t>
            </w:r>
          </w:p>
        </w:tc>
        <w:tc>
          <w:tcPr>
            <w:tcW w:w="969" w:type="dxa"/>
            <w:tcBorders>
              <w:top w:val="single" w:color="000000" w:sz="4" w:space="0"/>
              <w:left w:val="single" w:color="000000" w:sz="4" w:space="0"/>
              <w:bottom w:val="single" w:color="auto" w:sz="4" w:space="0"/>
              <w:right w:val="single" w:color="000000" w:sz="4" w:space="0"/>
            </w:tcBorders>
          </w:tcPr>
          <w:p>
            <w:pPr>
              <w:pStyle w:val="ConsPlusNormal"/>
              <w:jc w:val="center"/>
              <w:rPr>
                <w:sz w:val="16"/>
                <w:szCs w:val="16"/>
              </w:rPr>
            </w:pPr>
            <w:r>
              <w:rPr>
                <w:sz w:val="16"/>
                <w:szCs w:val="16"/>
              </w:rPr>
              <w:t xml:space="preserve">3385,52</w:t>
            </w:r>
          </w:p>
        </w:tc>
        <w:tc>
          <w:tcPr>
            <w:tcW w:w="1702" w:type="dxa"/>
            <w:vMerge w:val="continue"/>
            <w:tcBorders>
              <w:left w:val="single" w:color="000000" w:sz="4" w:space="0"/>
              <w:right w:val="single" w:color="000000" w:sz="4" w:space="0"/>
            </w:tcBorders>
          </w:tcPr>
          <w:p>
            <w:pPr>
              <w:widowControl w:val="off"/>
              <w:spacing w:after="0" w:line="240" w:lineRule="auto"/>
              <w:rPr>
                <w:rFonts w:ascii="Times New Roman" w:hAnsi="Times New Roman"/>
                <w:sz w:val="20"/>
                <w:szCs w:val="20"/>
                <w:highlight w:val="yellow"/>
                <w:lang w:eastAsia="ar-SA"/>
              </w:rPr>
            </w:pPr>
          </w:p>
        </w:tc>
      </w:tr>
      <w:tr>
        <w:trPr>
          <w:trHeight w:val="250"/>
        </w:trPr>
        <w:tc>
          <w:tcPr>
            <w:tcW w:w="567" w:type="dxa"/>
            <w:vMerge w:val="continue"/>
            <w:tcBorders>
              <w:left w:val="single" w:color="000000" w:sz="4" w:space="0"/>
              <w:bottom w:val="none"/>
              <w:right w:val="none"/>
            </w:tcBorders>
          </w:tcPr>
          <w:p>
            <w:pPr>
              <w:widowControl w:val="off"/>
              <w:spacing w:after="0" w:line="240" w:lineRule="auto"/>
              <w:ind w:left="-108"/>
              <w:jc w:val="center"/>
              <w:rPr>
                <w:rFonts w:ascii="Times New Roman" w:hAnsi="Times New Roman"/>
                <w:sz w:val="20"/>
                <w:szCs w:val="20"/>
                <w:highlight w:val="yellow"/>
                <w:lang w:eastAsia="ar-SA"/>
              </w:rPr>
            </w:pPr>
          </w:p>
        </w:tc>
        <w:tc>
          <w:tcPr>
            <w:tcW w:w="2268" w:type="dxa"/>
            <w:vMerge w:val="continue"/>
            <w:tcBorders>
              <w:left w:val="single" w:color="000000" w:sz="4" w:space="0"/>
              <w:bottom w:val="none"/>
              <w:right w:val="none"/>
            </w:tcBorders>
          </w:tcPr>
          <w:p>
            <w:pPr>
              <w:widowControl w:val="off"/>
              <w:spacing w:after="0" w:line="240" w:lineRule="auto"/>
              <w:rPr>
                <w:rFonts w:ascii="Times New Roman" w:hAnsi="Times New Roman"/>
                <w:sz w:val="20"/>
                <w:szCs w:val="20"/>
                <w:highlight w:val="yellow"/>
                <w:lang w:eastAsia="ar-SA"/>
              </w:rPr>
            </w:pPr>
          </w:p>
        </w:tc>
        <w:tc>
          <w:tcPr>
            <w:tcW w:w="2694" w:type="dxa"/>
            <w:vMerge w:val="continue"/>
            <w:tcBorders>
              <w:left w:val="single" w:color="000000" w:sz="4" w:space="0"/>
              <w:bottom w:val="none"/>
              <w:right w:val="single" w:color="auto" w:sz="4" w:space="0"/>
            </w:tcBorders>
          </w:tcPr>
          <w:p>
            <w:pPr>
              <w:widowControl w:val="off"/>
              <w:spacing w:after="0" w:line="240" w:lineRule="auto"/>
              <w:jc w:val="both"/>
              <w:rPr>
                <w:rFonts w:ascii="Times New Roman" w:hAnsi="Times New Roman"/>
                <w:sz w:val="20"/>
                <w:szCs w:val="20"/>
                <w:highlight w:val="yellow"/>
                <w:lang w:eastAsia="ar-SA"/>
              </w:rPr>
            </w:pPr>
          </w:p>
        </w:tc>
        <w:tc>
          <w:tcPr>
            <w:tcW w:w="992" w:type="dxa"/>
            <w:vMerge w:val="continue"/>
            <w:tcBorders>
              <w:left w:val="single" w:color="auto" w:sz="4" w:space="0"/>
              <w:bottom w:val="none"/>
              <w:right w:val="none"/>
            </w:tcBorders>
          </w:tcPr>
          <w:p>
            <w:pPr>
              <w:widowControl w:val="off"/>
              <w:spacing w:after="0" w:line="240" w:lineRule="auto"/>
              <w:jc w:val="center"/>
              <w:rPr>
                <w:rFonts w:ascii="Times New Roman" w:hAnsi="Times New Roman"/>
                <w:sz w:val="20"/>
                <w:szCs w:val="20"/>
                <w:highlight w:val="yellow"/>
                <w:lang w:eastAsia="ar-SA"/>
              </w:rPr>
            </w:pPr>
          </w:p>
        </w:tc>
        <w:tc>
          <w:tcPr>
            <w:tcW w:w="2126" w:type="dxa"/>
            <w:vMerge w:val="continue"/>
            <w:tcBorders>
              <w:left w:val="single" w:color="000000" w:sz="4" w:space="0"/>
              <w:bottom w:val="none"/>
              <w:right w:val="none"/>
            </w:tcBorders>
          </w:tcPr>
          <w:p>
            <w:pPr>
              <w:widowControl w:val="off"/>
              <w:spacing w:after="0" w:line="240" w:lineRule="auto"/>
              <w:rPr>
                <w:rFonts w:ascii="Times New Roman" w:hAnsi="Times New Roman"/>
                <w:sz w:val="20"/>
                <w:szCs w:val="20"/>
                <w:highlight w:val="yellow"/>
              </w:rPr>
            </w:pPr>
          </w:p>
        </w:tc>
        <w:tc>
          <w:tcPr>
            <w:tcW w:w="5811" w:type="dxa"/>
            <w:gridSpan w:val="6"/>
            <w:tcBorders>
              <w:left w:val="single" w:color="000000" w:sz="4" w:space="0"/>
              <w:bottom w:val="single" w:color="000000" w:sz="4" w:space="0"/>
              <w:right w:val="single" w:color="000000" w:sz="4" w:space="0"/>
            </w:tcBorders>
          </w:tcPr>
          <w:p>
            <w:pPr>
              <w:pStyle w:val="ConsPlusNormal"/>
              <w:jc w:val="center"/>
              <w:rPr>
                <w:sz w:val="20"/>
                <w:szCs w:val="20"/>
              </w:rPr>
            </w:pPr>
            <w:r>
              <w:rPr>
                <w:sz w:val="20"/>
                <w:szCs w:val="20"/>
              </w:rPr>
              <w:t xml:space="preserve">за счет средств хозяйствующих субъектов</w:t>
            </w:r>
          </w:p>
        </w:tc>
        <w:tc>
          <w:tcPr>
            <w:tcW w:w="1702" w:type="dxa"/>
            <w:vMerge w:val="continue"/>
            <w:tcBorders>
              <w:left w:val="single" w:color="000000" w:sz="4" w:space="0"/>
              <w:bottom w:val="none"/>
              <w:right w:val="single" w:color="000000" w:sz="4" w:space="0"/>
            </w:tcBorders>
          </w:tcPr>
          <w:p>
            <w:pPr>
              <w:widowControl w:val="off"/>
              <w:spacing w:after="0" w:line="240" w:lineRule="auto"/>
              <w:rPr>
                <w:rFonts w:ascii="Times New Roman" w:hAnsi="Times New Roman"/>
                <w:sz w:val="20"/>
                <w:szCs w:val="20"/>
                <w:highlight w:val="yellow"/>
                <w:lang w:eastAsia="ar-SA"/>
              </w:rPr>
            </w:pPr>
          </w:p>
        </w:tc>
      </w:tr>
      <w:tr>
        <w:trPr>
          <w:trHeight w:val="70"/>
        </w:trPr>
        <w:tc>
          <w:tcPr>
            <w:tcW w:w="567" w:type="dxa"/>
            <w:vMerge w:val="continue"/>
            <w:tcBorders>
              <w:left w:val="single" w:color="000000" w:sz="4" w:space="0"/>
              <w:bottom w:val="single" w:color="000000" w:sz="4" w:space="0"/>
              <w:right w:val="none"/>
            </w:tcBorders>
          </w:tcPr>
          <w:p>
            <w:pPr>
              <w:widowControl w:val="off"/>
              <w:spacing w:after="0" w:line="240" w:lineRule="auto"/>
              <w:ind w:left="-108"/>
              <w:jc w:val="center"/>
              <w:rPr>
                <w:rFonts w:ascii="Times New Roman" w:hAnsi="Times New Roman"/>
                <w:sz w:val="20"/>
                <w:szCs w:val="20"/>
                <w:lang w:eastAsia="ar-SA"/>
              </w:rPr>
            </w:pPr>
          </w:p>
        </w:tc>
        <w:tc>
          <w:tcPr>
            <w:tcW w:w="2268" w:type="dxa"/>
            <w:vMerge w:val="continue"/>
            <w:tcBorders>
              <w:left w:val="single" w:color="000000" w:sz="4" w:space="0"/>
              <w:bottom w:val="single" w:color="000000" w:sz="4" w:space="0"/>
              <w:right w:val="none"/>
            </w:tcBorders>
          </w:tcPr>
          <w:p>
            <w:pPr>
              <w:widowControl w:val="off"/>
              <w:spacing w:after="0" w:line="240" w:lineRule="auto"/>
              <w:rPr>
                <w:rFonts w:ascii="Times New Roman" w:hAnsi="Times New Roman"/>
                <w:sz w:val="20"/>
                <w:szCs w:val="20"/>
                <w:lang w:eastAsia="ar-SA"/>
              </w:rPr>
            </w:pPr>
          </w:p>
        </w:tc>
        <w:tc>
          <w:tcPr>
            <w:tcW w:w="2694" w:type="dxa"/>
            <w:vMerge w:val="continue"/>
            <w:tcBorders>
              <w:left w:val="single" w:color="000000" w:sz="4" w:space="0"/>
              <w:bottom w:val="single" w:color="000000" w:sz="4" w:space="0"/>
              <w:right w:val="single" w:color="auto" w:sz="4" w:space="0"/>
            </w:tcBorders>
          </w:tcPr>
          <w:p>
            <w:pPr>
              <w:widowControl w:val="off"/>
              <w:spacing w:after="0" w:line="240" w:lineRule="auto"/>
              <w:jc w:val="both"/>
              <w:rPr>
                <w:rFonts w:ascii="Times New Roman" w:hAnsi="Times New Roman"/>
                <w:sz w:val="20"/>
                <w:szCs w:val="20"/>
                <w:lang w:eastAsia="ar-SA"/>
              </w:rPr>
            </w:pPr>
          </w:p>
        </w:tc>
        <w:tc>
          <w:tcPr>
            <w:tcW w:w="992" w:type="dxa"/>
            <w:vMerge w:val="continue"/>
            <w:tcBorders>
              <w:left w:val="single" w:color="auto" w:sz="4" w:space="0"/>
              <w:bottom w:val="single" w:color="000000" w:sz="4" w:space="0"/>
              <w:right w:val="none"/>
            </w:tcBorders>
          </w:tcPr>
          <w:p>
            <w:pPr>
              <w:widowControl w:val="off"/>
              <w:spacing w:after="0" w:line="240" w:lineRule="auto"/>
              <w:jc w:val="center"/>
              <w:rPr>
                <w:rFonts w:ascii="Times New Roman" w:hAnsi="Times New Roman"/>
                <w:sz w:val="20"/>
                <w:szCs w:val="20"/>
                <w:lang w:eastAsia="ar-SA"/>
              </w:rPr>
            </w:pPr>
          </w:p>
        </w:tc>
        <w:tc>
          <w:tcPr>
            <w:tcW w:w="2126" w:type="dxa"/>
            <w:vMerge w:val="continue"/>
            <w:tcBorders>
              <w:left w:val="single" w:color="000000" w:sz="4" w:space="0"/>
              <w:bottom w:val="single" w:color="000000" w:sz="4" w:space="0"/>
              <w:right w:val="none"/>
            </w:tcBorders>
          </w:tcPr>
          <w:p>
            <w:pPr>
              <w:widowControl w:val="off"/>
              <w:spacing w:after="0" w:line="240" w:lineRule="auto"/>
              <w:rPr>
                <w:rFonts w:ascii="Times New Roman" w:hAnsi="Times New Roman"/>
                <w:sz w:val="20"/>
                <w:szCs w:val="20"/>
              </w:rPr>
            </w:pPr>
          </w:p>
        </w:tc>
        <w:tc>
          <w:tcPr>
            <w:tcW w:w="968" w:type="dxa"/>
            <w:tcBorders>
              <w:top w:val="single" w:color="000000" w:sz="4" w:space="0"/>
              <w:left w:val="single" w:color="000000" w:sz="4" w:space="0"/>
              <w:bottom w:val="single" w:color="000000" w:sz="4" w:space="0"/>
              <w:right w:val="single" w:color="auto" w:sz="4" w:space="0"/>
            </w:tcBorders>
          </w:tcPr>
          <w:p>
            <w:pPr>
              <w:pStyle w:val="ConsPlusNormal"/>
              <w:jc w:val="center"/>
              <w:rPr>
                <w:sz w:val="16"/>
                <w:szCs w:val="16"/>
              </w:rPr>
            </w:pPr>
            <w:r>
              <w:rPr>
                <w:sz w:val="16"/>
                <w:szCs w:val="16"/>
              </w:rPr>
              <w:t xml:space="preserve">191330,00</w:t>
            </w:r>
          </w:p>
        </w:tc>
        <w:tc>
          <w:tcPr>
            <w:tcW w:w="969" w:type="dxa"/>
            <w:tcBorders>
              <w:top w:val="single" w:color="000000" w:sz="4" w:space="0"/>
              <w:left w:val="single" w:color="auto" w:sz="4" w:space="0"/>
              <w:bottom w:val="single" w:color="000000" w:sz="4" w:space="0"/>
              <w:right w:val="single" w:color="auto" w:sz="4" w:space="0"/>
            </w:tcBorders>
          </w:tcPr>
          <w:p>
            <w:pPr>
              <w:pStyle w:val="ConsPlusNormal"/>
              <w:jc w:val="center"/>
              <w:rPr>
                <w:sz w:val="16"/>
                <w:szCs w:val="16"/>
              </w:rPr>
            </w:pPr>
            <w:r>
              <w:rPr>
                <w:sz w:val="16"/>
                <w:szCs w:val="16"/>
              </w:rPr>
              <w:t xml:space="preserve">251014,00</w:t>
            </w:r>
          </w:p>
        </w:tc>
        <w:tc>
          <w:tcPr>
            <w:tcW w:w="968" w:type="dxa"/>
            <w:tcBorders>
              <w:top w:val="single" w:color="000000" w:sz="4" w:space="0"/>
              <w:left w:val="single" w:color="auto" w:sz="4" w:space="0"/>
              <w:bottom w:val="single" w:color="000000" w:sz="4" w:space="0"/>
              <w:right w:val="single" w:color="auto" w:sz="4" w:space="0"/>
            </w:tcBorders>
          </w:tcPr>
          <w:p>
            <w:pPr>
              <w:pStyle w:val="ConsPlusNormal"/>
              <w:jc w:val="center"/>
              <w:rPr>
                <w:sz w:val="16"/>
                <w:szCs w:val="16"/>
              </w:rPr>
            </w:pPr>
            <w:r>
              <w:rPr>
                <w:sz w:val="16"/>
                <w:szCs w:val="16"/>
              </w:rPr>
              <w:t xml:space="preserve">269390,00</w:t>
            </w:r>
          </w:p>
        </w:tc>
        <w:tc>
          <w:tcPr>
            <w:tcW w:w="969" w:type="dxa"/>
            <w:tcBorders>
              <w:top w:val="single" w:color="000000" w:sz="4" w:space="0"/>
              <w:left w:val="single" w:color="auto" w:sz="4" w:space="0"/>
              <w:bottom w:val="single" w:color="000000" w:sz="4" w:space="0"/>
              <w:right w:val="single" w:color="auto" w:sz="4" w:space="0"/>
            </w:tcBorders>
          </w:tcPr>
          <w:p>
            <w:pPr>
              <w:pStyle w:val="ConsPlusNormal"/>
              <w:jc w:val="center"/>
              <w:rPr>
                <w:sz w:val="16"/>
                <w:szCs w:val="16"/>
              </w:rPr>
            </w:pPr>
            <w:r>
              <w:rPr>
                <w:sz w:val="16"/>
                <w:szCs w:val="16"/>
              </w:rPr>
              <w:t xml:space="preserve">269390,00</w:t>
            </w:r>
          </w:p>
        </w:tc>
        <w:tc>
          <w:tcPr>
            <w:tcW w:w="968" w:type="dxa"/>
            <w:tcBorders>
              <w:top w:val="single" w:color="000000" w:sz="4" w:space="0"/>
              <w:left w:val="single" w:color="auto" w:sz="4" w:space="0"/>
              <w:bottom w:val="single" w:color="000000" w:sz="4" w:space="0"/>
              <w:right w:val="single" w:color="auto" w:sz="4" w:space="0"/>
            </w:tcBorders>
          </w:tcPr>
          <w:p>
            <w:pPr>
              <w:pStyle w:val="ConsPlusNormal"/>
              <w:jc w:val="center"/>
              <w:rPr>
                <w:sz w:val="16"/>
                <w:szCs w:val="16"/>
              </w:rPr>
            </w:pPr>
            <w:r>
              <w:rPr>
                <w:sz w:val="16"/>
                <w:szCs w:val="16"/>
              </w:rPr>
              <w:t xml:space="preserve">269390,00</w:t>
            </w:r>
          </w:p>
        </w:tc>
        <w:tc>
          <w:tcPr>
            <w:tcW w:w="969" w:type="dxa"/>
            <w:tcBorders>
              <w:top w:val="single" w:color="000000" w:sz="4" w:space="0"/>
              <w:left w:val="single" w:color="auto" w:sz="4" w:space="0"/>
              <w:bottom w:val="single" w:color="000000" w:sz="4" w:space="0"/>
              <w:right w:val="single" w:color="000000" w:sz="4" w:space="0"/>
            </w:tcBorders>
          </w:tcPr>
          <w:p>
            <w:pPr>
              <w:pStyle w:val="ConsPlusNormal"/>
              <w:jc w:val="center"/>
              <w:rPr>
                <w:sz w:val="16"/>
                <w:szCs w:val="16"/>
              </w:rPr>
            </w:pPr>
            <w:r>
              <w:rPr>
                <w:sz w:val="16"/>
                <w:szCs w:val="16"/>
              </w:rPr>
              <w:t xml:space="preserve">269390,00</w:t>
            </w:r>
          </w:p>
        </w:tc>
        <w:tc>
          <w:tcPr>
            <w:tcW w:w="1702" w:type="dxa"/>
            <w:vMerge w:val="continue"/>
            <w:tcBorders>
              <w:left w:val="single" w:color="000000" w:sz="4" w:space="0"/>
              <w:bottom w:val="single" w:color="000000" w:sz="4" w:space="0"/>
              <w:right w:val="single" w:color="000000" w:sz="4" w:space="0"/>
            </w:tcBorders>
          </w:tcPr>
          <w:p>
            <w:pPr>
              <w:widowControl w:val="off"/>
              <w:spacing w:after="0" w:line="240" w:lineRule="auto"/>
              <w:rPr>
                <w:rFonts w:ascii="Times New Roman" w:hAnsi="Times New Roman"/>
                <w:sz w:val="20"/>
                <w:szCs w:val="20"/>
                <w:lang w:eastAsia="ar-SA"/>
              </w:rPr>
            </w:pPr>
          </w:p>
        </w:tc>
      </w:tr>
      <w:tr>
        <w:trPr>
          <w:trHeight w:val="621"/>
        </w:trPr>
        <w:tc>
          <w:tcPr>
            <w:tcW w:w="567" w:type="dxa"/>
            <w:vMerge w:val="restart"/>
            <w:tcBorders>
              <w:top w:val="single" w:color="auto" w:sz="4" w:space="0"/>
              <w:left w:val="single" w:color="auto" w:sz="4" w:space="0"/>
              <w:bottom w:val="single" w:color="auto" w:sz="4" w:space="0"/>
              <w:right w:val="single" w:color="auto" w:sz="4" w:space="0"/>
            </w:tcBorders>
          </w:tcPr>
          <w:p>
            <w:pPr>
              <w:widowControl w:val="off"/>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4.</w:t>
            </w:r>
          </w:p>
          <w:p>
            <w:pPr>
              <w:widowControl w:val="off"/>
              <w:spacing w:after="0" w:line="240" w:lineRule="auto"/>
              <w:ind w:left="-108"/>
              <w:rPr>
                <w:rFonts w:ascii="Times New Roman" w:hAnsi="Times New Roman"/>
                <w:sz w:val="20"/>
                <w:szCs w:val="20"/>
                <w:lang w:eastAsia="ar-SA"/>
              </w:rPr>
            </w:pPr>
          </w:p>
          <w:p>
            <w:pPr>
              <w:widowControl w:val="off"/>
              <w:spacing w:after="0" w:line="240" w:lineRule="auto"/>
              <w:ind w:left="-108"/>
              <w:rPr>
                <w:rFonts w:ascii="Times New Roman" w:hAnsi="Times New Roman"/>
                <w:sz w:val="20"/>
                <w:szCs w:val="20"/>
                <w:lang w:eastAsia="ar-SA"/>
              </w:rPr>
            </w:pPr>
          </w:p>
          <w:p>
            <w:pPr>
              <w:widowControl w:val="off"/>
              <w:spacing w:after="0" w:line="240" w:lineRule="auto"/>
              <w:ind w:left="-108"/>
              <w:rPr>
                <w:rFonts w:ascii="Times New Roman" w:hAnsi="Times New Roman"/>
                <w:sz w:val="20"/>
                <w:szCs w:val="20"/>
                <w:lang w:eastAsia="ar-SA"/>
              </w:rPr>
            </w:pPr>
          </w:p>
        </w:tc>
        <w:tc>
          <w:tcPr>
            <w:tcW w:w="2268" w:type="dxa"/>
            <w:vMerge w:val="restart"/>
            <w:tcBorders>
              <w:top w:val="single" w:color="auto" w:sz="4" w:space="0"/>
              <w:left w:val="single" w:color="auto" w:sz="4" w:space="0"/>
              <w:bottom w:val="single" w:color="auto" w:sz="4" w:space="0"/>
              <w:right w:val="single" w:color="auto" w:sz="4" w:space="0"/>
            </w:tcBorders>
          </w:tcPr>
          <w:p>
            <w:pPr>
              <w:widowControl w:val="o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Информационная</w:t>
            </w:r>
          </w:p>
          <w:p>
            <w:pPr>
              <w:widowControl w:val="o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поддержка </w:t>
            </w:r>
            <w:r>
              <w:rPr>
                <w:rFonts w:ascii="Times New Roman" w:hAnsi="Times New Roman" w:cs="Times New Roman"/>
                <w:sz w:val="20"/>
                <w:szCs w:val="20"/>
              </w:rPr>
              <w:t xml:space="preserve">и </w:t>
            </w:r>
            <w:r>
              <w:rPr>
                <w:rFonts w:ascii="Times New Roman" w:hAnsi="Times New Roman" w:cs="Times New Roman"/>
                <w:sz w:val="20"/>
                <w:szCs w:val="20"/>
              </w:rPr>
              <w:t xml:space="preserve">пропаганда энергосбережения и повышения энергетической эффективности</w:t>
            </w:r>
          </w:p>
        </w:tc>
        <w:tc>
          <w:tcPr>
            <w:tcW w:w="2694" w:type="dxa"/>
            <w:vMerge w:val="restart"/>
            <w:tcBorders>
              <w:top w:val="single" w:color="auto" w:sz="4" w:space="0"/>
              <w:left w:val="single" w:color="auto" w:sz="4" w:space="0"/>
              <w:bottom w:val="single" w:color="auto" w:sz="4" w:space="0"/>
              <w:right w:val="single" w:color="auto" w:sz="4" w:space="0"/>
            </w:tcBorders>
          </w:tcPr>
          <w:p>
            <w:pPr>
              <w:pStyle w:val="ConsPlusNormal"/>
              <w:rPr>
                <w:sz w:val="20"/>
                <w:szCs w:val="20"/>
              </w:rPr>
            </w:pPr>
            <w:r>
              <w:rPr>
                <w:sz w:val="20"/>
                <w:szCs w:val="20"/>
              </w:rPr>
              <w:t xml:space="preserve">комитет </w:t>
            </w:r>
            <w:r>
              <w:rPr>
                <w:sz w:val="20"/>
                <w:szCs w:val="20"/>
              </w:rPr>
              <w:t xml:space="preserve">городского</w:t>
            </w:r>
          </w:p>
          <w:p>
            <w:pPr>
              <w:pStyle w:val="ConsPlusNormal"/>
              <w:rPr>
                <w:sz w:val="20"/>
                <w:szCs w:val="20"/>
              </w:rPr>
            </w:pPr>
            <w:r>
              <w:rPr>
                <w:sz w:val="20"/>
                <w:szCs w:val="20"/>
              </w:rPr>
              <w:t xml:space="preserve">хозяйства администрации </w:t>
            </w:r>
            <w:r>
              <w:rPr>
                <w:sz w:val="20"/>
                <w:szCs w:val="20"/>
              </w:rPr>
              <w:t xml:space="preserve">города Ставрополя;</w:t>
            </w:r>
          </w:p>
          <w:p>
            <w:pPr>
              <w:pStyle w:val="ConsPlusNormal"/>
              <w:rPr>
                <w:sz w:val="20"/>
                <w:szCs w:val="20"/>
              </w:rPr>
            </w:pPr>
            <w:r>
              <w:rPr>
                <w:sz w:val="20"/>
                <w:szCs w:val="20"/>
              </w:rPr>
              <w:t xml:space="preserve">комитет </w:t>
            </w:r>
            <w:r>
              <w:rPr>
                <w:sz w:val="20"/>
                <w:szCs w:val="20"/>
              </w:rPr>
              <w:t xml:space="preserve">образования администрации города Ставрополя;</w:t>
            </w:r>
          </w:p>
          <w:p>
            <w:pPr>
              <w:pStyle w:val="ConsPlusNormal"/>
              <w:rPr>
                <w:sz w:val="20"/>
                <w:szCs w:val="20"/>
              </w:rPr>
            </w:pPr>
            <w:r>
              <w:rPr>
                <w:sz w:val="20"/>
                <w:szCs w:val="20"/>
              </w:rPr>
              <w:t xml:space="preserve">комитет куль</w:t>
            </w:r>
            <w:r>
              <w:rPr>
                <w:sz w:val="20"/>
                <w:szCs w:val="20"/>
              </w:rPr>
              <w:t xml:space="preserve">туры и молодежной политики </w:t>
            </w:r>
            <w:r>
              <w:rPr>
                <w:sz w:val="20"/>
                <w:szCs w:val="20"/>
              </w:rPr>
              <w:t xml:space="preserve">администрации города Ставрополя;</w:t>
            </w:r>
          </w:p>
          <w:p>
            <w:pPr>
              <w:pStyle w:val="ConsPlusNormal"/>
              <w:rPr>
                <w:sz w:val="20"/>
                <w:szCs w:val="20"/>
              </w:rPr>
            </w:pPr>
            <w:r>
              <w:rPr>
                <w:sz w:val="20"/>
                <w:szCs w:val="20"/>
              </w:rPr>
              <w:t xml:space="preserve">комитет физической культуры и спорта администрации города Ставрополя;</w:t>
            </w:r>
          </w:p>
          <w:p>
            <w:pPr>
              <w:pStyle w:val="ConsPlusNormal"/>
              <w:rPr>
                <w:sz w:val="20"/>
                <w:szCs w:val="20"/>
              </w:rPr>
            </w:pPr>
            <w:r>
              <w:rPr>
                <w:sz w:val="20"/>
                <w:szCs w:val="20"/>
              </w:rPr>
              <w:t xml:space="preserve">ад</w:t>
            </w:r>
            <w:r>
              <w:rPr>
                <w:sz w:val="20"/>
                <w:szCs w:val="20"/>
              </w:rPr>
              <w:t xml:space="preserve">министрация Октябрьского района </w:t>
            </w:r>
            <w:r>
              <w:rPr>
                <w:sz w:val="20"/>
                <w:szCs w:val="20"/>
              </w:rPr>
              <w:t xml:space="preserve">города Ставрополя;</w:t>
            </w:r>
          </w:p>
          <w:p>
            <w:pPr>
              <w:pStyle w:val="ConsPlusNormal"/>
              <w:rPr>
                <w:sz w:val="20"/>
                <w:szCs w:val="20"/>
              </w:rPr>
            </w:pPr>
            <w:r>
              <w:rPr>
                <w:sz w:val="20"/>
                <w:szCs w:val="20"/>
              </w:rPr>
              <w:t xml:space="preserve">администрация Промышленного района города Ставрополя;</w:t>
            </w:r>
          </w:p>
          <w:p>
            <w:pPr>
              <w:widowControl w:val="o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Ленинского района города Ставрополя</w:t>
            </w:r>
          </w:p>
        </w:tc>
        <w:tc>
          <w:tcPr>
            <w:tcW w:w="992" w:type="dxa"/>
            <w:vMerge w:val="restart"/>
            <w:tcBorders>
              <w:top w:val="single" w:color="auto" w:sz="4" w:space="0"/>
              <w:left w:val="single" w:color="auto" w:sz="4" w:space="0"/>
              <w:bottom w:val="single" w:color="auto" w:sz="4" w:space="0"/>
              <w:right w:val="single" w:color="auto" w:sz="4" w:space="0"/>
            </w:tcBorders>
          </w:tcPr>
          <w:p>
            <w:pPr>
              <w:widowControl w:val="off"/>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2023-2028</w:t>
            </w:r>
          </w:p>
          <w:p>
            <w:pPr>
              <w:widowControl w:val="off"/>
              <w:spacing w:after="0" w:line="240" w:lineRule="auto"/>
              <w:jc w:val="center"/>
              <w:rPr>
                <w:rFonts w:ascii="Times New Roman" w:hAnsi="Times New Roman" w:cs="Times New Roman"/>
                <w:sz w:val="20"/>
                <w:szCs w:val="20"/>
                <w:lang w:eastAsia="ar-SA"/>
              </w:rPr>
            </w:pPr>
          </w:p>
          <w:p>
            <w:pPr>
              <w:widowControl w:val="off"/>
              <w:spacing w:after="0" w:line="240" w:lineRule="auto"/>
              <w:jc w:val="center"/>
              <w:rPr>
                <w:rFonts w:ascii="Times New Roman" w:hAnsi="Times New Roman" w:cs="Times New Roman"/>
                <w:sz w:val="20"/>
                <w:szCs w:val="20"/>
                <w:lang w:eastAsia="ar-SA"/>
              </w:rPr>
            </w:pPr>
          </w:p>
          <w:p>
            <w:pPr>
              <w:widowControl w:val="off"/>
              <w:spacing w:after="0" w:line="240" w:lineRule="auto"/>
              <w:jc w:val="center"/>
              <w:rPr>
                <w:rFonts w:ascii="Times New Roman" w:hAnsi="Times New Roman" w:cs="Times New Roman"/>
                <w:sz w:val="20"/>
                <w:szCs w:val="20"/>
                <w:lang w:eastAsia="ar-SA"/>
              </w:rPr>
            </w:pPr>
          </w:p>
          <w:p>
            <w:pPr>
              <w:widowControl w:val="off"/>
              <w:spacing w:after="0" w:line="240" w:lineRule="auto"/>
              <w:jc w:val="center"/>
              <w:rPr>
                <w:rFonts w:ascii="Times New Roman" w:hAnsi="Times New Roman" w:cs="Times New Roman"/>
                <w:sz w:val="20"/>
                <w:szCs w:val="20"/>
                <w:lang w:eastAsia="ar-SA"/>
              </w:rPr>
            </w:pPr>
          </w:p>
        </w:tc>
        <w:tc>
          <w:tcPr>
            <w:tcW w:w="2126" w:type="dxa"/>
            <w:vMerge w:val="restart"/>
            <w:tcBorders>
              <w:top w:val="single" w:color="auto" w:sz="4" w:space="0"/>
              <w:left w:val="single" w:color="auto" w:sz="4" w:space="0"/>
              <w:bottom w:val="single" w:color="auto" w:sz="4" w:space="0"/>
              <w:right w:val="single" w:color="auto" w:sz="4" w:space="0"/>
            </w:tcBorders>
          </w:tcPr>
          <w:p>
            <w:pPr>
              <w:widowControl w:val="o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Федеральный </w:t>
            </w:r>
            <w:hyperlink r:id="rId29" w:history="1">
              <w:r>
                <w:rPr>
                  <w:rStyle w:val="ListLabel1"/>
                  <w:rFonts w:ascii="Times New Roman" w:hAnsi="Times New Roman" w:cs="Times New Roman"/>
                  <w:color w:val="000000"/>
                  <w:sz w:val="20"/>
                  <w:szCs w:val="20"/>
                </w:rPr>
                <w:t xml:space="preserve">закон</w:t>
              </w:r>
            </w:hyperlink>
            <w:r>
              <w:rPr>
                <w:rFonts w:ascii="Times New Roman" w:hAnsi="Times New Roman" w:cs="Times New Roman"/>
                <w:color w:val="000000"/>
                <w:sz w:val="20"/>
                <w:szCs w:val="20"/>
              </w:rPr>
              <w:t xml:space="preserve"> от 23 ноября 2009 г. </w:t>
            </w:r>
            <w:r>
              <w:rPr>
                <w:rFonts w:ascii="Times New Roman" w:hAnsi="Times New Roman" w:cs="Times New Roman"/>
                <w:color w:val="000000"/>
                <w:sz w:val="20"/>
                <w:szCs w:val="20"/>
              </w:rPr>
              <w:t xml:space="preserve">№ 261-ФЗ</w:t>
            </w:r>
            <w:r>
              <w:rPr>
                <w:rFonts w:ascii="Times New Roman" w:hAnsi="Times New Roman" w:cs="Times New Roman"/>
                <w:sz w:val="20"/>
                <w:szCs w:val="20"/>
              </w:rPr>
              <w:t xml:space="preserve"> «Об энергосбережении и о повышении энергетической эффективности и о</w:t>
            </w:r>
            <w:r>
              <w:rPr>
                <w:rFonts w:ascii="Times New Roman" w:hAnsi="Times New Roman" w:cs="Times New Roman"/>
                <w:sz w:val="20"/>
                <w:szCs w:val="20"/>
              </w:rPr>
              <w:t xml:space="preserve"> внесении изменений в отдельные законодательные акты Российской </w:t>
            </w:r>
            <w:r>
              <w:rPr>
                <w:rFonts w:ascii="Times New Roman" w:hAnsi="Times New Roman" w:cs="Times New Roman"/>
                <w:sz w:val="20"/>
                <w:szCs w:val="20"/>
              </w:rPr>
              <w:t xml:space="preserve">Федерации»</w:t>
            </w:r>
          </w:p>
        </w:tc>
        <w:tc>
          <w:tcPr>
            <w:tcW w:w="5811" w:type="dxa"/>
            <w:gridSpan w:val="6"/>
            <w:tcBorders>
              <w:top w:val="single" w:color="auto" w:sz="4" w:space="0"/>
              <w:left w:val="single" w:color="auto" w:sz="4" w:space="0"/>
              <w:bottom w:val="single" w:color="auto" w:sz="4" w:space="0"/>
              <w:right w:val="single" w:color="auto" w:sz="4" w:space="0"/>
            </w:tcBorders>
          </w:tcPr>
          <w:p>
            <w:pPr>
              <w:widowControl w:val="off"/>
              <w:tabs>
                <w:tab w:val="left" w:pos="706"/>
                <w:tab w:val="left" w:pos="884"/>
              </w:tabs>
              <w:spacing w:after="0" w:line="240" w:lineRule="auto"/>
              <w:ind w:right="-108"/>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Без финансирования</w:t>
            </w:r>
          </w:p>
        </w:tc>
        <w:tc>
          <w:tcPr>
            <w:tcW w:w="1702" w:type="dxa"/>
            <w:tcBorders>
              <w:top w:val="single" w:color="auto" w:sz="4" w:space="0"/>
              <w:left w:val="single" w:color="auto" w:sz="4" w:space="0"/>
              <w:bottom w:val="single" w:color="auto" w:sz="4" w:space="0"/>
              <w:right w:val="single" w:color="auto" w:sz="4" w:space="0"/>
            </w:tcBorders>
          </w:tcPr>
          <w:p>
            <w:pPr>
              <w:widowControl w:val="off"/>
              <w:spacing w:after="0" w:line="240" w:lineRule="auto"/>
              <w:ind w:right="-108"/>
              <w:rPr>
                <w:rFonts w:ascii="Times New Roman" w:hAnsi="Times New Roman" w:cs="Times New Roman"/>
                <w:sz w:val="20"/>
                <w:szCs w:val="20"/>
                <w:lang w:eastAsia="ar-SA"/>
              </w:rPr>
            </w:pPr>
          </w:p>
        </w:tc>
      </w:tr>
      <w:tr>
        <w:trPr>
          <w:trHeight w:val="2347"/>
        </w:trPr>
        <w:tc>
          <w:tcPr>
            <w:tcW w:w="567" w:type="dxa"/>
            <w:vMerge w:val="continue"/>
            <w:tcBorders>
              <w:top w:val="single" w:color="auto" w:sz="4" w:space="0"/>
              <w:left w:val="single" w:color="auto" w:sz="4" w:space="0"/>
              <w:bottom w:val="single" w:color="auto" w:sz="4" w:space="0"/>
              <w:right w:val="single" w:color="auto" w:sz="4" w:space="0"/>
            </w:tcBorders>
          </w:tcPr>
          <w:p>
            <w:pPr>
              <w:widowControl w:val="off"/>
              <w:spacing w:after="0" w:line="240" w:lineRule="auto"/>
              <w:ind w:left="-108"/>
              <w:jc w:val="center"/>
              <w:rPr>
                <w:rFonts w:ascii="Times New Roman" w:hAnsi="Times New Roman"/>
                <w:sz w:val="20"/>
                <w:szCs w:val="20"/>
                <w:lang w:eastAsia="ar-SA"/>
              </w:rPr>
            </w:pPr>
          </w:p>
        </w:tc>
        <w:tc>
          <w:tcPr>
            <w:tcW w:w="2268" w:type="dxa"/>
            <w:vMerge w:val="continue"/>
            <w:tcBorders>
              <w:top w:val="single" w:color="auto" w:sz="4" w:space="0"/>
              <w:left w:val="single" w:color="auto" w:sz="4" w:space="0"/>
              <w:bottom w:val="single" w:color="auto" w:sz="4" w:space="0"/>
              <w:right w:val="single" w:color="auto" w:sz="4" w:space="0"/>
            </w:tcBorders>
          </w:tcPr>
          <w:p>
            <w:pPr>
              <w:widowControl w:val="off"/>
              <w:spacing w:after="0" w:line="240" w:lineRule="auto"/>
              <w:rPr>
                <w:rFonts w:ascii="Times New Roman" w:hAnsi="Times New Roman" w:cs="Times New Roman"/>
                <w:sz w:val="20"/>
                <w:szCs w:val="20"/>
              </w:rPr>
            </w:pPr>
          </w:p>
        </w:tc>
        <w:tc>
          <w:tcPr>
            <w:tcW w:w="2694" w:type="dxa"/>
            <w:vMerge w:val="continue"/>
            <w:tcBorders>
              <w:top w:val="single" w:color="auto" w:sz="4" w:space="0"/>
              <w:left w:val="single" w:color="auto" w:sz="4" w:space="0"/>
              <w:bottom w:val="single" w:color="auto" w:sz="4" w:space="0"/>
              <w:right w:val="single" w:color="auto" w:sz="4" w:space="0"/>
            </w:tcBorders>
          </w:tcPr>
          <w:p>
            <w:pPr>
              <w:pStyle w:val="ConsPlusNormal"/>
              <w:rPr>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tcPr>
          <w:p>
            <w:pPr>
              <w:widowControl w:val="off"/>
              <w:spacing w:after="0" w:line="240" w:lineRule="auto"/>
              <w:jc w:val="center"/>
              <w:rPr>
                <w:rFonts w:ascii="Times New Roman" w:hAnsi="Times New Roman" w:cs="Times New Roman"/>
                <w:sz w:val="20"/>
                <w:szCs w:val="20"/>
                <w:lang w:eastAsia="ar-SA"/>
              </w:rPr>
            </w:pPr>
          </w:p>
        </w:tc>
        <w:tc>
          <w:tcPr>
            <w:tcW w:w="2126" w:type="dxa"/>
            <w:vMerge w:val="continue"/>
            <w:tcBorders>
              <w:top w:val="single" w:color="auto" w:sz="4" w:space="0"/>
              <w:left w:val="single" w:color="auto" w:sz="4" w:space="0"/>
              <w:bottom w:val="single" w:color="auto" w:sz="4" w:space="0"/>
              <w:right w:val="single" w:color="auto" w:sz="4" w:space="0"/>
            </w:tcBorders>
          </w:tcPr>
          <w:p>
            <w:pPr>
              <w:widowControl w:val="off"/>
              <w:spacing w:after="0" w:line="240" w:lineRule="auto"/>
              <w:rPr>
                <w:rFonts w:ascii="Times New Roman" w:hAnsi="Times New Roman" w:cs="Times New Roman"/>
                <w:color w:val="000000"/>
                <w:sz w:val="20"/>
                <w:szCs w:val="20"/>
              </w:rPr>
            </w:pPr>
          </w:p>
        </w:tc>
        <w:tc>
          <w:tcPr>
            <w:tcW w:w="5811" w:type="dxa"/>
            <w:gridSpan w:val="6"/>
            <w:tcBorders>
              <w:top w:val="single" w:color="auto" w:sz="4" w:space="0"/>
              <w:left w:val="single" w:color="auto" w:sz="4" w:space="0"/>
              <w:right w:val="single" w:color="auto" w:sz="4" w:space="0"/>
            </w:tcBorders>
          </w:tcPr>
          <w:p>
            <w:pPr>
              <w:widowControl w:val="off"/>
              <w:tabs>
                <w:tab w:val="left" w:pos="706"/>
                <w:tab w:val="left" w:pos="884"/>
              </w:tabs>
              <w:spacing w:line="240" w:lineRule="auto"/>
              <w:ind w:right="-108"/>
              <w:rPr>
                <w:rFonts w:ascii="Times New Roman" w:hAnsi="Times New Roman" w:cs="Times New Roman"/>
                <w:sz w:val="20"/>
                <w:szCs w:val="20"/>
                <w:lang w:eastAsia="ar-SA"/>
              </w:rPr>
            </w:pPr>
          </w:p>
        </w:tc>
        <w:tc>
          <w:tcPr>
            <w:tcW w:w="1702" w:type="dxa"/>
            <w:vMerge w:val="restart"/>
            <w:tcBorders>
              <w:top w:val="single" w:color="auto" w:sz="4" w:space="0"/>
              <w:left w:val="single" w:color="auto" w:sz="4" w:space="0"/>
              <w:bottom w:val="single" w:color="auto" w:sz="4" w:space="0"/>
              <w:right w:val="single" w:color="auto" w:sz="4" w:space="0"/>
            </w:tcBorders>
          </w:tcPr>
          <w:p>
            <w:pPr>
              <w:widowControl w:val="off"/>
              <w:spacing w:line="240" w:lineRule="auto"/>
              <w:ind w:right="-108"/>
              <w:rPr>
                <w:rFonts w:ascii="Times New Roman" w:hAnsi="Times New Roman" w:cs="Times New Roman"/>
                <w:sz w:val="20"/>
                <w:szCs w:val="20"/>
                <w:lang w:eastAsia="ar-SA"/>
              </w:rPr>
            </w:pPr>
          </w:p>
        </w:tc>
      </w:tr>
      <w:tr>
        <w:trPr>
          <w:trHeight w:val="2463"/>
        </w:trPr>
        <w:tc>
          <w:tcPr>
            <w:tcW w:w="567" w:type="dxa"/>
            <w:vMerge w:val="continue"/>
            <w:tcBorders>
              <w:top w:val="single" w:color="auto" w:sz="4" w:space="0"/>
              <w:left w:val="single" w:color="auto" w:sz="4" w:space="0"/>
              <w:bottom w:val="single" w:color="auto" w:sz="4" w:space="0"/>
              <w:right w:val="single" w:color="auto" w:sz="4" w:space="0"/>
            </w:tcBorders>
          </w:tcPr>
          <w:p>
            <w:pPr>
              <w:widowControl w:val="off"/>
              <w:spacing w:after="0" w:line="240" w:lineRule="auto"/>
              <w:ind w:left="-108"/>
              <w:jc w:val="center"/>
              <w:rPr>
                <w:rFonts w:ascii="Times New Roman" w:hAnsi="Times New Roman"/>
                <w:sz w:val="20"/>
                <w:szCs w:val="20"/>
                <w:lang w:eastAsia="ar-SA"/>
              </w:rPr>
            </w:pPr>
          </w:p>
        </w:tc>
        <w:tc>
          <w:tcPr>
            <w:tcW w:w="2268" w:type="dxa"/>
            <w:vMerge w:val="continue"/>
            <w:tcBorders>
              <w:top w:val="single" w:color="auto" w:sz="4" w:space="0"/>
              <w:left w:val="single" w:color="auto" w:sz="4" w:space="0"/>
              <w:bottom w:val="single" w:color="auto" w:sz="4" w:space="0"/>
              <w:right w:val="single" w:color="auto" w:sz="4" w:space="0"/>
            </w:tcBorders>
          </w:tcPr>
          <w:p>
            <w:pPr>
              <w:widowControl w:val="off"/>
              <w:spacing w:after="0" w:line="240" w:lineRule="auto"/>
              <w:rPr>
                <w:rFonts w:ascii="Times New Roman" w:hAnsi="Times New Roman"/>
                <w:sz w:val="20"/>
                <w:szCs w:val="20"/>
                <w:lang w:eastAsia="ar-SA"/>
              </w:rPr>
            </w:pPr>
          </w:p>
        </w:tc>
        <w:tc>
          <w:tcPr>
            <w:tcW w:w="2694" w:type="dxa"/>
            <w:vMerge w:val="continue"/>
            <w:tcBorders>
              <w:top w:val="single" w:color="auto" w:sz="4" w:space="0"/>
              <w:left w:val="single" w:color="auto" w:sz="4" w:space="0"/>
              <w:bottom w:val="single" w:color="auto" w:sz="4" w:space="0"/>
              <w:right w:val="single" w:color="auto" w:sz="4" w:space="0"/>
            </w:tcBorders>
          </w:tcPr>
          <w:p>
            <w:pPr>
              <w:widowControl w:val="off"/>
              <w:spacing w:after="0" w:line="240" w:lineRule="auto"/>
              <w:jc w:val="both"/>
              <w:rPr>
                <w:rFonts w:ascii="Times New Roman" w:hAnsi="Times New Roman"/>
                <w:sz w:val="20"/>
                <w:szCs w:val="20"/>
                <w:lang w:eastAsia="ar-SA"/>
              </w:rPr>
            </w:pPr>
          </w:p>
        </w:tc>
        <w:tc>
          <w:tcPr>
            <w:tcW w:w="992" w:type="dxa"/>
            <w:vMerge w:val="continue"/>
            <w:tcBorders>
              <w:top w:val="single" w:color="auto" w:sz="4" w:space="0"/>
              <w:left w:val="single" w:color="auto" w:sz="4" w:space="0"/>
              <w:bottom w:val="single" w:color="auto" w:sz="4" w:space="0"/>
              <w:right w:val="single" w:color="auto" w:sz="4" w:space="0"/>
            </w:tcBorders>
          </w:tcPr>
          <w:p>
            <w:pPr>
              <w:widowControl w:val="off"/>
              <w:spacing w:after="0" w:line="240" w:lineRule="auto"/>
              <w:jc w:val="center"/>
              <w:rPr>
                <w:rFonts w:ascii="Times New Roman" w:hAnsi="Times New Roman"/>
                <w:sz w:val="20"/>
                <w:szCs w:val="20"/>
                <w:lang w:eastAsia="ar-SA"/>
              </w:rPr>
            </w:pPr>
          </w:p>
        </w:tc>
        <w:tc>
          <w:tcPr>
            <w:tcW w:w="2126" w:type="dxa"/>
            <w:vMerge w:val="continue"/>
            <w:tcBorders>
              <w:top w:val="single" w:color="auto" w:sz="4" w:space="0"/>
              <w:left w:val="single" w:color="auto" w:sz="4" w:space="0"/>
              <w:bottom w:val="single" w:color="auto" w:sz="4" w:space="0"/>
              <w:right w:val="single" w:color="auto" w:sz="4" w:space="0"/>
            </w:tcBorders>
          </w:tcPr>
          <w:p>
            <w:pPr>
              <w:widowControl w:val="off"/>
              <w:spacing w:after="0" w:line="240" w:lineRule="auto"/>
              <w:rPr>
                <w:rFonts w:ascii="Times New Roman" w:hAnsi="Times New Roman"/>
                <w:sz w:val="20"/>
                <w:szCs w:val="20"/>
              </w:rPr>
            </w:pPr>
          </w:p>
        </w:tc>
        <w:tc>
          <w:tcPr>
            <w:tcW w:w="5811" w:type="dxa"/>
            <w:gridSpan w:val="6"/>
            <w:tcBorders>
              <w:left w:val="single" w:color="auto" w:sz="4" w:space="0"/>
              <w:bottom w:val="single" w:color="auto" w:sz="4" w:space="0"/>
              <w:right w:val="single" w:color="auto" w:sz="4" w:space="0"/>
            </w:tcBorders>
          </w:tcPr>
          <w:p>
            <w:pPr>
              <w:spacing w:line="240" w:lineRule="auto"/>
            </w:pPr>
          </w:p>
        </w:tc>
        <w:tc>
          <w:tcPr>
            <w:tcW w:w="1702" w:type="dxa"/>
            <w:vMerge w:val="continue"/>
            <w:tcBorders>
              <w:top w:val="single" w:color="auto" w:sz="4" w:space="0"/>
              <w:left w:val="single" w:color="auto" w:sz="4" w:space="0"/>
              <w:bottom w:val="single" w:color="auto" w:sz="4" w:space="0"/>
              <w:right w:val="single" w:color="auto" w:sz="4" w:space="0"/>
            </w:tcBorders>
          </w:tcPr>
          <w:p>
            <w:pPr>
              <w:widowControl w:val="off"/>
              <w:spacing w:after="0" w:line="240" w:lineRule="auto"/>
              <w:rPr>
                <w:rFonts w:ascii="Times New Roman" w:hAnsi="Times New Roman"/>
                <w:sz w:val="20"/>
                <w:szCs w:val="20"/>
                <w:lang w:eastAsia="ar-SA"/>
              </w:rPr>
            </w:pPr>
          </w:p>
        </w:tc>
      </w:tr>
      <w:tr>
        <w:trPr>
          <w:cantSplit/>
          <w:trHeight w:val="267"/>
        </w:trPr>
        <w:tc>
          <w:tcPr>
            <w:tcW w:w="8647" w:type="dxa"/>
            <w:gridSpan w:val="5"/>
            <w:tcBorders>
              <w:top w:val="single" w:color="000000" w:sz="4" w:space="0"/>
              <w:left w:val="single" w:color="000000" w:sz="4" w:space="0"/>
              <w:right w:val="none"/>
            </w:tcBorders>
            <w:hideMark/>
          </w:tcPr>
          <w:p>
            <w:pPr>
              <w:widowControl w:val="off"/>
              <w:spacing w:line="240" w:lineRule="auto"/>
              <w:jc w:val="both"/>
              <w:rPr>
                <w:rFonts w:ascii="Times New Roman" w:hAnsi="Times New Roman"/>
                <w:sz w:val="20"/>
                <w:szCs w:val="20"/>
                <w:lang w:eastAsia="ar-SA"/>
              </w:rPr>
            </w:pPr>
            <w:r>
              <w:rPr>
                <w:rFonts w:ascii="Times New Roman" w:hAnsi="Times New Roman" w:cs="Times New Roman"/>
                <w:sz w:val="20"/>
                <w:szCs w:val="20"/>
              </w:rPr>
              <w:t xml:space="preserve">Итого за счет средств бюджета города Ставрополя</w:t>
            </w:r>
          </w:p>
        </w:tc>
        <w:tc>
          <w:tcPr>
            <w:tcW w:w="968" w:type="dxa"/>
            <w:tcBorders>
              <w:top w:val="single" w:color="000000" w:sz="4" w:space="0"/>
              <w:left w:val="single" w:color="000000" w:sz="4" w:space="0"/>
              <w:right w:val="none"/>
            </w:tcBorders>
            <w:hideMark/>
          </w:tcPr>
          <w:p>
            <w:pPr>
              <w:pStyle w:val="ConsPlusNormal"/>
              <w:jc w:val="center"/>
              <w:rPr>
                <w:sz w:val="16"/>
                <w:szCs w:val="16"/>
              </w:rPr>
            </w:pPr>
            <w:r>
              <w:rPr>
                <w:sz w:val="16"/>
                <w:szCs w:val="16"/>
              </w:rPr>
              <w:t xml:space="preserve">9359,34</w:t>
            </w:r>
          </w:p>
        </w:tc>
        <w:tc>
          <w:tcPr>
            <w:tcW w:w="969" w:type="dxa"/>
            <w:tcBorders>
              <w:top w:val="single" w:color="000000" w:sz="4" w:space="0"/>
              <w:left w:val="single" w:color="000000" w:sz="4" w:space="0"/>
              <w:right w:val="single" w:color="auto" w:sz="4" w:space="0"/>
            </w:tcBorders>
            <w:hideMark/>
          </w:tcPr>
          <w:p>
            <w:pPr>
              <w:pStyle w:val="ConsPlusNormal"/>
              <w:jc w:val="center"/>
              <w:rPr>
                <w:sz w:val="16"/>
                <w:szCs w:val="16"/>
              </w:rPr>
            </w:pPr>
            <w:r>
              <w:rPr>
                <w:sz w:val="16"/>
                <w:szCs w:val="16"/>
              </w:rPr>
              <w:t xml:space="preserve">9359,34</w:t>
            </w:r>
          </w:p>
        </w:tc>
        <w:tc>
          <w:tcPr>
            <w:tcW w:w="968" w:type="dxa"/>
            <w:tcBorders>
              <w:top w:val="single" w:color="000000" w:sz="4" w:space="0"/>
              <w:left w:val="single" w:color="auto" w:sz="4" w:space="0"/>
              <w:right w:val="single" w:color="auto" w:sz="4" w:space="0"/>
            </w:tcBorders>
            <w:hideMark/>
          </w:tcPr>
          <w:p>
            <w:pPr>
              <w:pStyle w:val="ConsPlusNormal"/>
              <w:jc w:val="center"/>
              <w:rPr>
                <w:sz w:val="16"/>
                <w:szCs w:val="16"/>
              </w:rPr>
            </w:pPr>
            <w:r>
              <w:rPr>
                <w:sz w:val="16"/>
                <w:szCs w:val="16"/>
              </w:rPr>
              <w:t xml:space="preserve">9359,34</w:t>
            </w:r>
          </w:p>
        </w:tc>
        <w:tc>
          <w:tcPr>
            <w:tcW w:w="969" w:type="dxa"/>
            <w:tcBorders>
              <w:top w:val="single" w:color="000000" w:sz="4" w:space="0"/>
              <w:left w:val="single" w:color="auto" w:sz="4" w:space="0"/>
              <w:right w:val="single" w:color="auto" w:sz="4" w:space="0"/>
            </w:tcBorders>
            <w:hideMark/>
          </w:tcPr>
          <w:p>
            <w:pPr>
              <w:pStyle w:val="ConsPlusNormal"/>
              <w:jc w:val="center"/>
              <w:rPr>
                <w:sz w:val="16"/>
                <w:szCs w:val="16"/>
              </w:rPr>
            </w:pPr>
            <w:r>
              <w:rPr>
                <w:sz w:val="16"/>
                <w:szCs w:val="16"/>
              </w:rPr>
              <w:t xml:space="preserve">9359,34</w:t>
            </w:r>
          </w:p>
        </w:tc>
        <w:tc>
          <w:tcPr>
            <w:tcW w:w="968" w:type="dxa"/>
            <w:tcBorders>
              <w:top w:val="single" w:color="000000" w:sz="4" w:space="0"/>
              <w:left w:val="single" w:color="auto" w:sz="4" w:space="0"/>
              <w:right w:val="single" w:color="auto" w:sz="4" w:space="0"/>
            </w:tcBorders>
            <w:shd w:val="clear" w:color="auto" w:fill="auto"/>
          </w:tcPr>
          <w:p>
            <w:pPr>
              <w:pStyle w:val="ConsPlusNormal"/>
              <w:jc w:val="center"/>
              <w:rPr>
                <w:sz w:val="16"/>
                <w:szCs w:val="16"/>
              </w:rPr>
            </w:pPr>
            <w:r>
              <w:rPr>
                <w:sz w:val="16"/>
                <w:szCs w:val="16"/>
              </w:rPr>
              <w:t xml:space="preserve">9359,34</w:t>
            </w:r>
          </w:p>
        </w:tc>
        <w:tc>
          <w:tcPr>
            <w:tcW w:w="969" w:type="dxa"/>
            <w:tcBorders>
              <w:top w:val="single" w:color="000000" w:sz="4" w:space="0"/>
              <w:left w:val="single" w:color="auto" w:sz="4" w:space="0"/>
              <w:right w:val="single" w:color="000000" w:sz="4" w:space="0"/>
            </w:tcBorders>
          </w:tcPr>
          <w:p>
            <w:pPr>
              <w:pStyle w:val="ConsPlusNormal"/>
              <w:jc w:val="center"/>
              <w:rPr>
                <w:sz w:val="16"/>
                <w:szCs w:val="16"/>
              </w:rPr>
            </w:pPr>
            <w:r>
              <w:rPr>
                <w:sz w:val="16"/>
                <w:szCs w:val="16"/>
              </w:rPr>
              <w:t xml:space="preserve">9359,34</w:t>
            </w:r>
          </w:p>
        </w:tc>
        <w:tc>
          <w:tcPr>
            <w:tcW w:w="1702" w:type="dxa"/>
            <w:tcBorders>
              <w:top w:val="single" w:color="000000" w:sz="4" w:space="0"/>
              <w:left w:val="single" w:color="000000" w:sz="4" w:space="0"/>
              <w:right w:val="single" w:color="000000" w:sz="4" w:space="0"/>
            </w:tcBorders>
          </w:tcPr>
          <w:p>
            <w:pPr>
              <w:widowControl w:val="off"/>
              <w:spacing w:after="0" w:line="240" w:lineRule="auto"/>
              <w:rPr>
                <w:rFonts w:ascii="Times New Roman" w:hAnsi="Times New Roman"/>
                <w:sz w:val="20"/>
                <w:szCs w:val="20"/>
                <w:lang w:eastAsia="ar-SA"/>
              </w:rPr>
            </w:pPr>
          </w:p>
        </w:tc>
      </w:tr>
      <w:tr>
        <w:trPr>
          <w:cantSplit/>
          <w:trHeight w:val="77"/>
        </w:trPr>
        <w:tc>
          <w:tcPr>
            <w:tcW w:w="8647" w:type="dxa"/>
            <w:gridSpan w:val="5"/>
            <w:tcBorders>
              <w:top w:val="single" w:color="auto" w:sz="4" w:space="0"/>
              <w:left w:val="single" w:color="000000" w:sz="4" w:space="0"/>
              <w:bottom w:val="single" w:color="auto" w:sz="4" w:space="0"/>
              <w:right w:val="none"/>
            </w:tcBorders>
            <w:hideMark/>
          </w:tcPr>
          <w:p>
            <w:pPr>
              <w:widowControl w:val="off"/>
              <w:spacing w:line="240" w:lineRule="auto"/>
              <w:jc w:val="both"/>
              <w:rPr>
                <w:rFonts w:ascii="Times New Roman" w:hAnsi="Times New Roman" w:cs="Times New Roman"/>
                <w:sz w:val="20"/>
                <w:szCs w:val="20"/>
                <w:lang w:eastAsia="ar-SA"/>
              </w:rPr>
            </w:pPr>
            <w:r>
              <w:rPr>
                <w:rFonts w:ascii="Times New Roman" w:hAnsi="Times New Roman" w:cs="Times New Roman"/>
                <w:sz w:val="20"/>
                <w:szCs w:val="20"/>
              </w:rPr>
              <w:t xml:space="preserve">Итого за счет средств собственников помещений в многоквартирных домах</w:t>
            </w:r>
          </w:p>
        </w:tc>
        <w:tc>
          <w:tcPr>
            <w:tcW w:w="968" w:type="dxa"/>
            <w:tcBorders>
              <w:top w:val="single" w:color="auto" w:sz="4" w:space="0"/>
              <w:left w:val="single" w:color="000000" w:sz="4" w:space="0"/>
              <w:bottom w:val="single" w:color="auto" w:sz="4" w:space="0"/>
              <w:right w:val="single" w:color="auto" w:sz="4" w:space="0"/>
            </w:tcBorders>
            <w:hideMark/>
          </w:tcPr>
          <w:p>
            <w:pPr>
              <w:pStyle w:val="ConsPlusNormal"/>
              <w:jc w:val="center"/>
              <w:rPr>
                <w:sz w:val="16"/>
                <w:szCs w:val="16"/>
              </w:rPr>
            </w:pPr>
            <w:r>
              <w:rPr>
                <w:sz w:val="16"/>
                <w:szCs w:val="16"/>
              </w:rPr>
              <w:t xml:space="preserve">16604,25</w:t>
            </w:r>
          </w:p>
        </w:tc>
        <w:tc>
          <w:tcPr>
            <w:tcW w:w="969" w:type="dxa"/>
            <w:tcBorders>
              <w:top w:val="single" w:color="auto" w:sz="4" w:space="0"/>
              <w:left w:val="single" w:color="auto" w:sz="4" w:space="0"/>
              <w:bottom w:val="single" w:color="auto" w:sz="4" w:space="0"/>
              <w:right w:val="single" w:color="auto" w:sz="4" w:space="0"/>
            </w:tcBorders>
          </w:tcPr>
          <w:p>
            <w:pPr>
              <w:pStyle w:val="ConsPlusNormal"/>
              <w:jc w:val="center"/>
              <w:rPr>
                <w:sz w:val="16"/>
                <w:szCs w:val="16"/>
              </w:rPr>
            </w:pPr>
            <w:r>
              <w:rPr>
                <w:sz w:val="16"/>
                <w:szCs w:val="16"/>
              </w:rPr>
              <w:t xml:space="preserve">17666,96</w:t>
            </w:r>
          </w:p>
        </w:tc>
        <w:tc>
          <w:tcPr>
            <w:tcW w:w="968" w:type="dxa"/>
            <w:tcBorders>
              <w:top w:val="single" w:color="auto" w:sz="4" w:space="0"/>
              <w:left w:val="single" w:color="auto" w:sz="4" w:space="0"/>
              <w:bottom w:val="single" w:color="auto" w:sz="4" w:space="0"/>
              <w:right w:val="single" w:color="auto" w:sz="4" w:space="0"/>
            </w:tcBorders>
          </w:tcPr>
          <w:p>
            <w:pPr>
              <w:pStyle w:val="ConsPlusNormal"/>
              <w:jc w:val="center"/>
              <w:rPr>
                <w:sz w:val="16"/>
                <w:szCs w:val="16"/>
              </w:rPr>
            </w:pPr>
            <w:r>
              <w:rPr>
                <w:sz w:val="16"/>
                <w:szCs w:val="16"/>
              </w:rPr>
              <w:t xml:space="preserve">17666,96</w:t>
            </w:r>
          </w:p>
        </w:tc>
        <w:tc>
          <w:tcPr>
            <w:tcW w:w="969" w:type="dxa"/>
            <w:tcBorders>
              <w:top w:val="single" w:color="auto" w:sz="4" w:space="0"/>
              <w:left w:val="single" w:color="auto" w:sz="4" w:space="0"/>
              <w:bottom w:val="single" w:color="auto" w:sz="4" w:space="0"/>
              <w:right w:val="single" w:color="auto" w:sz="4" w:space="0"/>
            </w:tcBorders>
          </w:tcPr>
          <w:p>
            <w:pPr>
              <w:pStyle w:val="ConsPlusNormal"/>
              <w:jc w:val="center"/>
              <w:rPr>
                <w:sz w:val="16"/>
                <w:szCs w:val="16"/>
              </w:rPr>
            </w:pPr>
            <w:r>
              <w:rPr>
                <w:sz w:val="16"/>
                <w:szCs w:val="16"/>
              </w:rPr>
              <w:t xml:space="preserve">17666,96</w:t>
            </w:r>
          </w:p>
        </w:tc>
        <w:tc>
          <w:tcPr>
            <w:tcW w:w="968" w:type="dxa"/>
            <w:tcBorders>
              <w:top w:val="single" w:color="auto" w:sz="4" w:space="0"/>
              <w:left w:val="single" w:color="auto" w:sz="4" w:space="0"/>
              <w:bottom w:val="single" w:color="auto" w:sz="4" w:space="0"/>
              <w:right w:val="single" w:color="auto" w:sz="4" w:space="0"/>
            </w:tcBorders>
          </w:tcPr>
          <w:p>
            <w:pPr>
              <w:pStyle w:val="ConsPlusNormal"/>
              <w:jc w:val="center"/>
              <w:rPr>
                <w:sz w:val="16"/>
                <w:szCs w:val="16"/>
              </w:rPr>
            </w:pPr>
            <w:r>
              <w:rPr>
                <w:sz w:val="16"/>
                <w:szCs w:val="16"/>
              </w:rPr>
              <w:t xml:space="preserve">17666,96</w:t>
            </w:r>
          </w:p>
        </w:tc>
        <w:tc>
          <w:tcPr>
            <w:tcW w:w="969" w:type="dxa"/>
            <w:tcBorders>
              <w:top w:val="single" w:color="auto" w:sz="4" w:space="0"/>
              <w:left w:val="single" w:color="auto" w:sz="4" w:space="0"/>
              <w:bottom w:val="single" w:color="auto" w:sz="4" w:space="0"/>
              <w:right w:val="single" w:color="000000" w:sz="4" w:space="0"/>
            </w:tcBorders>
          </w:tcPr>
          <w:p>
            <w:pPr>
              <w:pStyle w:val="ConsPlusNormal"/>
              <w:jc w:val="center"/>
              <w:rPr>
                <w:sz w:val="16"/>
                <w:szCs w:val="16"/>
              </w:rPr>
            </w:pPr>
            <w:r>
              <w:rPr>
                <w:sz w:val="16"/>
                <w:szCs w:val="16"/>
              </w:rPr>
              <w:t xml:space="preserve">17666,96</w:t>
            </w:r>
          </w:p>
        </w:tc>
        <w:tc>
          <w:tcPr>
            <w:tcW w:w="1702" w:type="dxa"/>
            <w:tcBorders>
              <w:top w:val="single" w:color="auto" w:sz="4" w:space="0"/>
              <w:left w:val="single" w:color="000000" w:sz="4" w:space="0"/>
              <w:bottom w:val="single" w:color="auto" w:sz="4" w:space="0"/>
              <w:right w:val="single" w:color="000000" w:sz="4" w:space="0"/>
            </w:tcBorders>
          </w:tcPr>
          <w:p>
            <w:pPr>
              <w:widowControl w:val="off"/>
              <w:spacing w:after="0" w:line="240" w:lineRule="auto"/>
              <w:rPr>
                <w:rFonts w:ascii="Times New Roman" w:hAnsi="Times New Roman"/>
                <w:sz w:val="20"/>
                <w:szCs w:val="20"/>
                <w:lang w:eastAsia="ar-SA"/>
              </w:rPr>
            </w:pPr>
          </w:p>
        </w:tc>
      </w:tr>
      <w:tr>
        <w:trPr>
          <w:cantSplit/>
          <w:trHeight w:val="166"/>
        </w:trPr>
        <w:tc>
          <w:tcPr>
            <w:tcW w:w="8647" w:type="dxa"/>
            <w:gridSpan w:val="5"/>
            <w:tcBorders>
              <w:top w:val="single" w:color="auto" w:sz="4" w:space="0"/>
              <w:left w:val="single" w:color="000000" w:sz="4" w:space="0"/>
              <w:bottom w:val="single" w:color="auto" w:sz="4" w:space="0"/>
              <w:right w:val="none"/>
            </w:tcBorders>
            <w:hideMark/>
          </w:tcPr>
          <w:p>
            <w:pPr>
              <w:widowControl w:val="off"/>
              <w:spacing w:line="240" w:lineRule="auto"/>
              <w:jc w:val="both"/>
              <w:rPr>
                <w:rFonts w:ascii="Times New Roman" w:hAnsi="Times New Roman" w:cs="Times New Roman"/>
                <w:sz w:val="20"/>
                <w:szCs w:val="20"/>
                <w:lang w:eastAsia="ar-SA"/>
              </w:rPr>
            </w:pPr>
            <w:r>
              <w:rPr>
                <w:rFonts w:ascii="Times New Roman" w:hAnsi="Times New Roman" w:cs="Times New Roman"/>
                <w:sz w:val="20"/>
                <w:szCs w:val="20"/>
              </w:rPr>
              <w:t xml:space="preserve">Итого за счет средств хозяйствующих субъектов</w:t>
            </w:r>
          </w:p>
        </w:tc>
        <w:tc>
          <w:tcPr>
            <w:tcW w:w="968" w:type="dxa"/>
            <w:tcBorders>
              <w:top w:val="single" w:color="auto" w:sz="4" w:space="0"/>
              <w:left w:val="single" w:color="000000" w:sz="4" w:space="0"/>
              <w:bottom w:val="single" w:color="auto" w:sz="4" w:space="0"/>
              <w:right w:val="single" w:color="auto" w:sz="4" w:space="0"/>
            </w:tcBorders>
            <w:hideMark/>
          </w:tcPr>
          <w:p>
            <w:pPr>
              <w:pStyle w:val="ConsPlusNormal"/>
              <w:jc w:val="center"/>
              <w:rPr>
                <w:sz w:val="16"/>
                <w:szCs w:val="16"/>
              </w:rPr>
            </w:pPr>
            <w:r>
              <w:rPr>
                <w:sz w:val="16"/>
                <w:szCs w:val="16"/>
              </w:rPr>
              <w:t xml:space="preserve">191330,00</w:t>
            </w:r>
          </w:p>
        </w:tc>
        <w:tc>
          <w:tcPr>
            <w:tcW w:w="969" w:type="dxa"/>
            <w:tcBorders>
              <w:top w:val="single" w:color="auto" w:sz="4" w:space="0"/>
              <w:left w:val="single" w:color="auto" w:sz="4" w:space="0"/>
              <w:bottom w:val="single" w:color="auto" w:sz="4" w:space="0"/>
              <w:right w:val="single" w:color="auto" w:sz="4" w:space="0"/>
            </w:tcBorders>
          </w:tcPr>
          <w:p>
            <w:pPr>
              <w:pStyle w:val="ConsPlusNormal"/>
              <w:jc w:val="center"/>
              <w:rPr>
                <w:sz w:val="16"/>
                <w:szCs w:val="16"/>
              </w:rPr>
            </w:pPr>
            <w:r>
              <w:rPr>
                <w:sz w:val="16"/>
                <w:szCs w:val="16"/>
              </w:rPr>
              <w:t xml:space="preserve">251014,00</w:t>
            </w:r>
          </w:p>
        </w:tc>
        <w:tc>
          <w:tcPr>
            <w:tcW w:w="968" w:type="dxa"/>
            <w:tcBorders>
              <w:top w:val="single" w:color="auto" w:sz="4" w:space="0"/>
              <w:left w:val="single" w:color="auto" w:sz="4" w:space="0"/>
              <w:bottom w:val="single" w:color="auto" w:sz="4" w:space="0"/>
              <w:right w:val="single" w:color="auto" w:sz="4" w:space="0"/>
            </w:tcBorders>
          </w:tcPr>
          <w:p>
            <w:pPr>
              <w:pStyle w:val="ConsPlusNormal"/>
              <w:jc w:val="center"/>
              <w:rPr>
                <w:sz w:val="16"/>
                <w:szCs w:val="16"/>
              </w:rPr>
            </w:pPr>
            <w:r>
              <w:rPr>
                <w:sz w:val="16"/>
                <w:szCs w:val="16"/>
              </w:rPr>
              <w:t xml:space="preserve">269390,00</w:t>
            </w:r>
          </w:p>
        </w:tc>
        <w:tc>
          <w:tcPr>
            <w:tcW w:w="969" w:type="dxa"/>
            <w:tcBorders>
              <w:top w:val="single" w:color="auto" w:sz="4" w:space="0"/>
              <w:left w:val="single" w:color="auto" w:sz="4" w:space="0"/>
              <w:bottom w:val="single" w:color="auto" w:sz="4" w:space="0"/>
              <w:right w:val="single" w:color="auto" w:sz="4" w:space="0"/>
            </w:tcBorders>
          </w:tcPr>
          <w:p>
            <w:pPr>
              <w:pStyle w:val="ConsPlusNormal"/>
              <w:jc w:val="center"/>
              <w:rPr>
                <w:sz w:val="16"/>
                <w:szCs w:val="16"/>
              </w:rPr>
            </w:pPr>
            <w:r>
              <w:rPr>
                <w:sz w:val="16"/>
                <w:szCs w:val="16"/>
              </w:rPr>
              <w:t xml:space="preserve">269390,00</w:t>
            </w:r>
          </w:p>
        </w:tc>
        <w:tc>
          <w:tcPr>
            <w:tcW w:w="968" w:type="dxa"/>
            <w:tcBorders>
              <w:top w:val="single" w:color="auto" w:sz="4" w:space="0"/>
              <w:left w:val="single" w:color="auto" w:sz="4" w:space="0"/>
              <w:bottom w:val="single" w:color="auto" w:sz="4" w:space="0"/>
              <w:right w:val="single" w:color="auto" w:sz="4" w:space="0"/>
            </w:tcBorders>
          </w:tcPr>
          <w:p>
            <w:pPr>
              <w:pStyle w:val="ConsPlusNormal"/>
              <w:jc w:val="center"/>
              <w:rPr>
                <w:sz w:val="16"/>
                <w:szCs w:val="16"/>
              </w:rPr>
            </w:pPr>
            <w:r>
              <w:rPr>
                <w:sz w:val="16"/>
                <w:szCs w:val="16"/>
              </w:rPr>
              <w:t xml:space="preserve">269390,00</w:t>
            </w:r>
          </w:p>
        </w:tc>
        <w:tc>
          <w:tcPr>
            <w:tcW w:w="969" w:type="dxa"/>
            <w:tcBorders>
              <w:top w:val="single" w:color="auto" w:sz="4" w:space="0"/>
              <w:left w:val="single" w:color="auto" w:sz="4" w:space="0"/>
              <w:bottom w:val="single" w:color="auto" w:sz="4" w:space="0"/>
              <w:right w:val="single" w:color="000000" w:sz="4" w:space="0"/>
            </w:tcBorders>
          </w:tcPr>
          <w:p>
            <w:pPr>
              <w:pStyle w:val="ConsPlusNormal"/>
              <w:jc w:val="center"/>
              <w:rPr>
                <w:sz w:val="16"/>
                <w:szCs w:val="16"/>
              </w:rPr>
            </w:pPr>
            <w:r>
              <w:rPr>
                <w:sz w:val="16"/>
                <w:szCs w:val="16"/>
              </w:rPr>
              <w:t xml:space="preserve">269390,00</w:t>
            </w:r>
          </w:p>
        </w:tc>
        <w:tc>
          <w:tcPr>
            <w:tcW w:w="1702" w:type="dxa"/>
            <w:tcBorders>
              <w:top w:val="single" w:color="auto" w:sz="4" w:space="0"/>
              <w:left w:val="single" w:color="000000" w:sz="4" w:space="0"/>
              <w:bottom w:val="single" w:color="auto" w:sz="4" w:space="0"/>
              <w:right w:val="single" w:color="000000" w:sz="4" w:space="0"/>
            </w:tcBorders>
          </w:tcPr>
          <w:p>
            <w:pPr>
              <w:widowControl w:val="off"/>
              <w:spacing w:after="0" w:line="240" w:lineRule="auto"/>
              <w:rPr>
                <w:rFonts w:ascii="Times New Roman" w:hAnsi="Times New Roman"/>
                <w:sz w:val="20"/>
                <w:szCs w:val="20"/>
                <w:lang w:eastAsia="ar-SA"/>
              </w:rPr>
            </w:pPr>
          </w:p>
        </w:tc>
      </w:tr>
      <w:tr>
        <w:trPr>
          <w:cantSplit/>
          <w:trHeight w:val="355"/>
        </w:trPr>
        <w:tc>
          <w:tcPr>
            <w:tcW w:w="8647" w:type="dxa"/>
            <w:gridSpan w:val="5"/>
            <w:tcBorders>
              <w:top w:val="single" w:color="auto" w:sz="4" w:space="0"/>
              <w:left w:val="single" w:color="000000" w:sz="4" w:space="0"/>
              <w:bottom w:val="single" w:color="auto" w:sz="4" w:space="0"/>
              <w:right w:val="none"/>
            </w:tcBorders>
            <w:hideMark/>
          </w:tcPr>
          <w:p>
            <w:pPr>
              <w:widowControl w:val="off"/>
              <w:spacing w:line="240" w:lineRule="auto"/>
              <w:jc w:val="both"/>
              <w:rPr>
                <w:rFonts w:ascii="Times New Roman" w:hAnsi="Times New Roman"/>
                <w:sz w:val="20"/>
                <w:szCs w:val="20"/>
                <w:lang w:eastAsia="ar-SA"/>
              </w:rPr>
            </w:pPr>
            <w:r>
              <w:rPr>
                <w:rFonts w:ascii="Times New Roman" w:hAnsi="Times New Roman"/>
                <w:sz w:val="20"/>
                <w:szCs w:val="20"/>
                <w:lang w:eastAsia="ar-SA"/>
              </w:rPr>
              <w:t xml:space="preserve">Итого по Программе</w:t>
            </w:r>
          </w:p>
        </w:tc>
        <w:tc>
          <w:tcPr>
            <w:tcW w:w="968" w:type="dxa"/>
            <w:tcBorders>
              <w:top w:val="single" w:color="auto" w:sz="4" w:space="0"/>
              <w:left w:val="single" w:color="000000" w:sz="4" w:space="0"/>
              <w:bottom w:val="single" w:color="auto" w:sz="4" w:space="0"/>
              <w:right w:val="single" w:color="auto" w:sz="4" w:space="0"/>
            </w:tcBorders>
            <w:hideMark/>
          </w:tcPr>
          <w:p>
            <w:pPr>
              <w:pStyle w:val="ConsPlusNormal"/>
              <w:jc w:val="center"/>
              <w:rPr>
                <w:sz w:val="16"/>
                <w:szCs w:val="16"/>
              </w:rPr>
            </w:pPr>
            <w:r>
              <w:rPr>
                <w:sz w:val="16"/>
                <w:szCs w:val="16"/>
              </w:rPr>
              <w:t xml:space="preserve">217293,59</w:t>
            </w:r>
          </w:p>
        </w:tc>
        <w:tc>
          <w:tcPr>
            <w:tcW w:w="969" w:type="dxa"/>
            <w:tcBorders>
              <w:top w:val="single" w:color="auto" w:sz="4" w:space="0"/>
              <w:left w:val="single" w:color="auto" w:sz="4" w:space="0"/>
              <w:bottom w:val="single" w:color="auto" w:sz="4" w:space="0"/>
              <w:right w:val="single" w:color="auto" w:sz="4" w:space="0"/>
            </w:tcBorders>
          </w:tcPr>
          <w:p>
            <w:pPr>
              <w:pStyle w:val="ConsPlusNormal"/>
              <w:jc w:val="center"/>
              <w:rPr>
                <w:sz w:val="16"/>
                <w:szCs w:val="16"/>
              </w:rPr>
            </w:pPr>
            <w:r>
              <w:rPr>
                <w:sz w:val="16"/>
                <w:szCs w:val="16"/>
              </w:rPr>
              <w:t xml:space="preserve">278040,3</w:t>
            </w:r>
          </w:p>
        </w:tc>
        <w:tc>
          <w:tcPr>
            <w:tcW w:w="968" w:type="dxa"/>
            <w:tcBorders>
              <w:top w:val="single" w:color="auto" w:sz="4" w:space="0"/>
              <w:left w:val="single" w:color="auto" w:sz="4" w:space="0"/>
              <w:bottom w:val="single" w:color="auto" w:sz="4" w:space="0"/>
              <w:right w:val="single" w:color="auto" w:sz="4" w:space="0"/>
            </w:tcBorders>
          </w:tcPr>
          <w:p>
            <w:pPr>
              <w:pStyle w:val="ConsPlusNormal"/>
              <w:jc w:val="center"/>
              <w:rPr>
                <w:sz w:val="16"/>
                <w:szCs w:val="16"/>
              </w:rPr>
            </w:pPr>
            <w:r>
              <w:rPr>
                <w:sz w:val="16"/>
                <w:szCs w:val="16"/>
              </w:rPr>
              <w:t xml:space="preserve">296416,3</w:t>
            </w:r>
          </w:p>
        </w:tc>
        <w:tc>
          <w:tcPr>
            <w:tcW w:w="969" w:type="dxa"/>
            <w:tcBorders>
              <w:top w:val="single" w:color="auto" w:sz="4" w:space="0"/>
              <w:left w:val="single" w:color="auto" w:sz="4" w:space="0"/>
              <w:bottom w:val="single" w:color="auto" w:sz="4" w:space="0"/>
              <w:right w:val="single" w:color="auto" w:sz="4" w:space="0"/>
            </w:tcBorders>
          </w:tcPr>
          <w:p>
            <w:pPr>
              <w:pStyle w:val="ConsPlusNormal"/>
              <w:jc w:val="center"/>
              <w:rPr>
                <w:sz w:val="16"/>
                <w:szCs w:val="16"/>
              </w:rPr>
            </w:pPr>
            <w:r>
              <w:rPr>
                <w:sz w:val="16"/>
                <w:szCs w:val="16"/>
              </w:rPr>
              <w:t xml:space="preserve">296416,3</w:t>
            </w:r>
          </w:p>
        </w:tc>
        <w:tc>
          <w:tcPr>
            <w:tcW w:w="968" w:type="dxa"/>
            <w:tcBorders>
              <w:top w:val="single" w:color="auto" w:sz="4" w:space="0"/>
              <w:left w:val="single" w:color="auto" w:sz="4" w:space="0"/>
              <w:bottom w:val="single" w:color="auto" w:sz="4" w:space="0"/>
              <w:right w:val="single" w:color="auto" w:sz="4" w:space="0"/>
            </w:tcBorders>
          </w:tcPr>
          <w:p>
            <w:pPr>
              <w:pStyle w:val="ConsPlusNormal"/>
              <w:jc w:val="center"/>
              <w:rPr>
                <w:sz w:val="16"/>
                <w:szCs w:val="16"/>
              </w:rPr>
            </w:pPr>
            <w:r>
              <w:rPr>
                <w:sz w:val="16"/>
                <w:szCs w:val="16"/>
              </w:rPr>
              <w:t xml:space="preserve">296416,3</w:t>
            </w:r>
          </w:p>
        </w:tc>
        <w:tc>
          <w:tcPr>
            <w:tcW w:w="969" w:type="dxa"/>
            <w:tcBorders>
              <w:top w:val="single" w:color="auto" w:sz="4" w:space="0"/>
              <w:left w:val="single" w:color="auto" w:sz="4" w:space="0"/>
              <w:bottom w:val="single" w:color="auto" w:sz="4" w:space="0"/>
              <w:right w:val="single" w:color="000000" w:sz="4" w:space="0"/>
            </w:tcBorders>
          </w:tcPr>
          <w:p>
            <w:pPr>
              <w:pStyle w:val="ConsPlusNormal"/>
              <w:jc w:val="center"/>
              <w:rPr>
                <w:sz w:val="16"/>
                <w:szCs w:val="16"/>
              </w:rPr>
            </w:pPr>
            <w:r>
              <w:rPr>
                <w:sz w:val="16"/>
                <w:szCs w:val="16"/>
              </w:rPr>
              <w:t xml:space="preserve">296416,3</w:t>
            </w:r>
          </w:p>
        </w:tc>
        <w:tc>
          <w:tcPr>
            <w:tcW w:w="1702" w:type="dxa"/>
            <w:tcBorders>
              <w:top w:val="single" w:color="auto" w:sz="4" w:space="0"/>
              <w:left w:val="single" w:color="000000" w:sz="4" w:space="0"/>
              <w:bottom w:val="single" w:color="auto" w:sz="4" w:space="0"/>
              <w:right w:val="single" w:color="000000" w:sz="4" w:space="0"/>
            </w:tcBorders>
          </w:tcPr>
          <w:p>
            <w:pPr>
              <w:widowControl w:val="off"/>
              <w:spacing w:after="0" w:line="240" w:lineRule="auto"/>
              <w:rPr>
                <w:rFonts w:ascii="Times New Roman" w:hAnsi="Times New Roman"/>
                <w:sz w:val="20"/>
                <w:szCs w:val="20"/>
                <w:lang w:eastAsia="ar-SA"/>
              </w:rPr>
            </w:pPr>
          </w:p>
        </w:tc>
      </w:tr>
    </w:tbl>
    <w:p/>
    <w:p>
      <w:pPr>
        <w:sectPr>
          <w:headerReference w:type="even" r:id="rId9"/>
          <w:headerReference w:type="default" r:id="rId10"/>
          <w:footerReference w:type="even" r:id="rId11"/>
          <w:footerReference w:type="default" r:id="rId12"/>
          <w:footerReference w:type="first" r:id="rId13"/>
          <w:pgSz w:w="16838" w:h="11906" w:orient="landscape"/>
          <w:pgMar w:top="1134" w:right="1440" w:bottom="993" w:left="1440" w:header="0" w:footer="258" w:gutter="0"/>
          <w:pgNumType w:start="1"/>
          <w:cols w:space="720"/>
          <w:docGrid w:linePitch="360"/>
          <w:titlePg/>
        </w:sectPr>
      </w:pPr>
    </w:p>
    <w:p>
      <w:pPr>
        <w:pStyle w:val="ConsPlusNormal"/>
        <w:spacing w:line="240" w:lineRule="exact"/>
        <w:rPr>
          <w:sz w:val="20"/>
          <w:szCs w:val="20"/>
        </w:rPr>
      </w:pPr>
    </w:p>
    <w:tbl>
      <w:tblPr>
        <w:tblpPr w:horzAnchor="text" w:tblpX="8233" w:vertAnchor="text" w:tblpY="-149" w:leftFromText="180" w:rightFromText="180"/>
        <w:tblW w:w="0" w:type="auto"/>
        <w:tblLook w:val="0000" w:firstRow="0" w:lastRow="0" w:firstColumn="0" w:lastColumn="0" w:noHBand="0" w:noVBand="0"/>
      </w:tblPr>
      <w:tblGrid>
        <w:gridCol w:w="6381"/>
      </w:tblGrid>
      <w:tr>
        <w:trPr>
          <w:trHeight w:val="984"/>
        </w:trPr>
        <w:tc>
          <w:tcPr>
            <w:tcW w:w="6381" w:type="dxa"/>
          </w:tcPr>
          <w:p>
            <w:pPr>
              <w:pStyle w:val="ConsPlusNormal"/>
              <w:spacing w:line="240" w:lineRule="exact"/>
              <w:rPr>
                <w:sz w:val="28"/>
                <w:szCs w:val="28"/>
              </w:rPr>
            </w:pPr>
            <w:r>
              <w:rPr>
                <w:sz w:val="28"/>
                <w:szCs w:val="28"/>
              </w:rPr>
              <w:t xml:space="preserve">Приложение 2</w:t>
            </w:r>
          </w:p>
          <w:p>
            <w:pPr>
              <w:pStyle w:val="ConsPlusNormal"/>
              <w:spacing w:line="240" w:lineRule="exact"/>
              <w:rPr>
                <w:sz w:val="20"/>
                <w:szCs w:val="20"/>
              </w:rPr>
            </w:pPr>
          </w:p>
          <w:p>
            <w:pPr>
              <w:pStyle w:val="ConsPlusNormal"/>
              <w:spacing w:line="240" w:lineRule="exact"/>
              <w:rPr>
                <w:sz w:val="28"/>
                <w:szCs w:val="28"/>
              </w:rPr>
            </w:pPr>
            <w:r>
              <w:rPr>
                <w:sz w:val="28"/>
                <w:szCs w:val="28"/>
              </w:rPr>
              <w:t xml:space="preserve">к муниципальной программе</w:t>
            </w:r>
          </w:p>
          <w:p>
            <w:pPr>
              <w:pStyle w:val="ConsPlusNormal"/>
              <w:spacing w:line="240" w:lineRule="exact"/>
              <w:rPr>
                <w:sz w:val="28"/>
                <w:szCs w:val="28"/>
              </w:rPr>
            </w:pPr>
            <w:r>
              <w:rPr>
                <w:sz w:val="28"/>
                <w:szCs w:val="28"/>
              </w:rPr>
              <w:t xml:space="preserve">«Энергосбережение и повышение </w:t>
            </w:r>
            <w:r>
              <w:rPr>
                <w:sz w:val="28"/>
                <w:szCs w:val="28"/>
              </w:rPr>
              <w:t xml:space="preserve">энергетической</w:t>
            </w:r>
          </w:p>
          <w:p>
            <w:pPr>
              <w:pStyle w:val="ConsPlusNormal"/>
              <w:spacing w:line="240" w:lineRule="exact"/>
              <w:rPr>
                <w:sz w:val="28"/>
                <w:szCs w:val="28"/>
              </w:rPr>
            </w:pPr>
            <w:r>
              <w:rPr>
                <w:sz w:val="28"/>
                <w:szCs w:val="28"/>
              </w:rPr>
              <w:t xml:space="preserve">эффективности в городе Ставрополе»</w:t>
            </w:r>
          </w:p>
        </w:tc>
      </w:tr>
    </w:tbl>
    <w:p>
      <w:pPr>
        <w:pStyle w:val="ConsPlusNormal"/>
        <w:jc w:val="both"/>
        <w:rPr>
          <w:sz w:val="20"/>
          <w:szCs w:val="20"/>
        </w:rPr>
      </w:pPr>
    </w:p>
    <w:p>
      <w:pPr>
        <w:pStyle w:val="ConsPlusTitle"/>
        <w:spacing w:line="240" w:lineRule="exact"/>
        <w:jc w:val="center"/>
        <w:rPr>
          <w:rFonts w:ascii="Times New Roman" w:hAnsi="Times New Roman"/>
          <w:b w:val="0"/>
          <w:sz w:val="20"/>
          <w:szCs w:val="20"/>
        </w:rPr>
      </w:pPr>
      <w:bookmarkStart w:id="3" w:name="Par2675"/>
      <w:bookmarkEnd w:id="3"/>
    </w:p>
    <w:p>
      <w:pPr>
        <w:pStyle w:val="ConsPlusTitle"/>
        <w:spacing w:line="240" w:lineRule="exact"/>
        <w:jc w:val="center"/>
        <w:rPr>
          <w:rFonts w:ascii="Times New Roman" w:hAnsi="Times New Roman"/>
          <w:b w:val="0"/>
        </w:rPr>
      </w:pPr>
    </w:p>
    <w:p>
      <w:pPr>
        <w:pStyle w:val="ConsPlusTitle"/>
        <w:spacing w:line="240" w:lineRule="exact"/>
        <w:rPr>
          <w:rFonts w:ascii="Times New Roman" w:hAnsi="Times New Roman"/>
          <w:b w:val="0"/>
        </w:rPr>
      </w:pPr>
    </w:p>
    <w:p>
      <w:pPr>
        <w:pStyle w:val="ConsPlusTitle"/>
        <w:spacing w:line="240" w:lineRule="exact"/>
        <w:jc w:val="center"/>
        <w:rPr>
          <w:rFonts w:ascii="Times New Roman" w:hAnsi="Times New Roman"/>
          <w:b w:val="0"/>
          <w:sz w:val="18"/>
          <w:szCs w:val="18"/>
        </w:rPr>
      </w:pPr>
      <w:r>
        <w:rPr>
          <w:rFonts w:ascii="Times New Roman" w:hAnsi="Times New Roman"/>
          <w:b w:val="0"/>
        </w:rPr>
        <w:t xml:space="preserve">                                                            </w:t>
      </w:r>
    </w:p>
    <w:p>
      <w:pPr>
        <w:pStyle w:val="ConsPlusTitle"/>
        <w:spacing w:line="240" w:lineRule="exact"/>
        <w:jc w:val="center"/>
        <w:rPr>
          <w:b w:val="0"/>
          <w:sz w:val="20"/>
          <w:szCs w:val="20"/>
        </w:rPr>
      </w:pPr>
      <w:r>
        <w:rPr>
          <w:rFonts w:ascii="Times New Roman" w:hAnsi="Times New Roman"/>
          <w:b w:val="0"/>
        </w:rPr>
        <w:t xml:space="preserve">СВЕДЕНИЯ</w:t>
      </w:r>
    </w:p>
    <w:p>
      <w:pPr>
        <w:pStyle w:val="ConsPlusTitle"/>
        <w:spacing w:line="240" w:lineRule="exact"/>
        <w:jc w:val="center"/>
        <w:rPr>
          <w:b w:val="0"/>
        </w:rPr>
      </w:pPr>
      <w:r>
        <w:rPr>
          <w:rFonts w:ascii="Times New Roman" w:hAnsi="Times New Roman"/>
          <w:b w:val="0"/>
        </w:rPr>
        <w:t xml:space="preserve">о составе и значениях показателей (индикаторов) достижения</w:t>
      </w:r>
      <w:r>
        <w:rPr>
          <w:rFonts w:ascii="Times New Roman" w:hAnsi="Times New Roman"/>
          <w:b w:val="0"/>
        </w:rPr>
        <w:t xml:space="preserve"> </w:t>
      </w:r>
      <w:r>
        <w:rPr>
          <w:rFonts w:ascii="Times New Roman" w:hAnsi="Times New Roman"/>
          <w:b w:val="0"/>
        </w:rPr>
        <w:t xml:space="preserve">цели и показателей решения задач муниципальной программы</w:t>
      </w:r>
    </w:p>
    <w:p>
      <w:pPr>
        <w:pStyle w:val="ConsPlusTitle"/>
        <w:spacing w:line="240" w:lineRule="exact"/>
        <w:jc w:val="center"/>
        <w:rPr>
          <w:b w:val="0"/>
          <w:sz w:val="18"/>
          <w:szCs w:val="18"/>
        </w:rPr>
      </w:pPr>
      <w:r>
        <w:rPr>
          <w:rFonts w:ascii="Times New Roman" w:hAnsi="Times New Roman"/>
          <w:b w:val="0"/>
        </w:rPr>
        <w:t xml:space="preserve">«Э</w:t>
      </w:r>
      <w:r>
        <w:rPr>
          <w:rFonts w:ascii="Times New Roman" w:hAnsi="Times New Roman"/>
          <w:b w:val="0"/>
        </w:rPr>
        <w:t xml:space="preserve">нергосбережение и повышение энергетической эффективности</w:t>
      </w:r>
      <w:r>
        <w:rPr>
          <w:rFonts w:ascii="Times New Roman" w:hAnsi="Times New Roman"/>
          <w:b w:val="0"/>
        </w:rPr>
        <w:t xml:space="preserve"> в городе С</w:t>
      </w:r>
      <w:r>
        <w:rPr>
          <w:rFonts w:ascii="Times New Roman" w:hAnsi="Times New Roman"/>
          <w:b w:val="0"/>
        </w:rPr>
        <w:t xml:space="preserve">таврополе</w:t>
      </w:r>
      <w:r>
        <w:rPr>
          <w:rFonts w:ascii="Times New Roman" w:hAnsi="Times New Roman"/>
          <w:b w:val="0"/>
        </w:rPr>
        <w:t xml:space="preserve">»</w:t>
      </w:r>
    </w:p>
    <w:p>
      <w:pPr>
        <w:pStyle w:val="ConsPlusNormal"/>
        <w:jc w:val="both"/>
        <w:rPr>
          <w:sz w:val="20"/>
          <w:szCs w:val="20"/>
        </w:rPr>
      </w:pPr>
    </w:p>
    <w:tbl>
      <w:tblPr>
        <w:tblW w:w="16160" w:type="dxa"/>
        <w:tblInd w:w="-1072" w:type="dxa"/>
        <w:tblLayout w:type="fixed"/>
        <w:tblCellMar>
          <w:left w:w="62" w:type="dxa"/>
          <w:top w:w="102" w:type="dxa"/>
          <w:right w:w="62" w:type="dxa"/>
          <w:bottom w:w="102" w:type="dxa"/>
        </w:tblCellMar>
        <w:tblLook w:val="0000" w:firstRow="0" w:lastRow="0" w:firstColumn="0" w:lastColumn="0" w:noHBand="0" w:noVBand="0"/>
      </w:tblPr>
      <w:tblGrid>
        <w:gridCol w:w="567"/>
        <w:gridCol w:w="5387"/>
        <w:gridCol w:w="1984"/>
        <w:gridCol w:w="1027"/>
        <w:gridCol w:w="1028"/>
        <w:gridCol w:w="1028"/>
        <w:gridCol w:w="1028"/>
        <w:gridCol w:w="1027"/>
        <w:gridCol w:w="1028"/>
        <w:gridCol w:w="1028"/>
        <w:gridCol w:w="1028"/>
      </w:tblGrid>
      <w:tr>
        <w:tc>
          <w:tcPr>
            <w:tcW w:w="567" w:type="dxa"/>
            <w:vMerge w:val="restart"/>
            <w:tcBorders>
              <w:top w:val="single" w:color="000000" w:sz="4" w:space="0"/>
              <w:left w:val="single" w:color="000000" w:sz="4" w:space="0"/>
              <w:bottom w:val="single" w:color="000000" w:sz="4" w:space="0"/>
            </w:tcBorders>
            <w:shd w:val="clear" w:color="auto" w:fill="auto"/>
          </w:tcPr>
          <w:p>
            <w:pPr>
              <w:pStyle w:val="ConsPlusNormal"/>
              <w:jc w:val="center"/>
            </w:pPr>
            <w:r>
              <w:t xml:space="preserve">№ </w:t>
            </w:r>
            <w:r>
              <w:t xml:space="preserve">п</w:t>
            </w:r>
            <w:r>
              <w:t xml:space="preserve">/</w:t>
            </w:r>
            <w:r>
              <w:t xml:space="preserve">п</w:t>
            </w:r>
          </w:p>
        </w:tc>
        <w:tc>
          <w:tcPr>
            <w:tcW w:w="5387" w:type="dxa"/>
            <w:vMerge w:val="restart"/>
            <w:tcBorders>
              <w:top w:val="single" w:color="000000" w:sz="4" w:space="0"/>
              <w:left w:val="single" w:color="000000" w:sz="4" w:space="0"/>
              <w:bottom w:val="single" w:color="000000" w:sz="4" w:space="0"/>
            </w:tcBorders>
            <w:shd w:val="clear" w:color="auto" w:fill="auto"/>
          </w:tcPr>
          <w:p>
            <w:pPr>
              <w:pStyle w:val="ConsPlusNormal"/>
              <w:jc w:val="center"/>
            </w:pPr>
            <w:r>
              <w:t xml:space="preserve">Наименование показателей (индикаторов) достижения цели Программы и показателей решения задач Программы</w:t>
            </w:r>
          </w:p>
        </w:tc>
        <w:tc>
          <w:tcPr>
            <w:tcW w:w="1984" w:type="dxa"/>
            <w:vMerge w:val="restart"/>
            <w:tcBorders>
              <w:top w:val="single" w:color="000000" w:sz="4" w:space="0"/>
              <w:left w:val="single" w:color="000000" w:sz="4" w:space="0"/>
              <w:bottom w:val="single" w:color="000000" w:sz="4" w:space="0"/>
            </w:tcBorders>
            <w:shd w:val="clear" w:color="auto" w:fill="auto"/>
          </w:tcPr>
          <w:p>
            <w:pPr>
              <w:pStyle w:val="ConsPlusNormal"/>
              <w:jc w:val="center"/>
            </w:pPr>
            <w:r>
              <w:t xml:space="preserve">Единица измерения</w:t>
            </w:r>
          </w:p>
        </w:tc>
        <w:tc>
          <w:tcPr>
            <w:tcW w:w="8222" w:type="dxa"/>
            <w:gridSpan w:val="8"/>
            <w:tcBorders>
              <w:top w:val="single" w:color="000000" w:sz="4" w:space="0"/>
              <w:left w:val="single" w:color="000000" w:sz="4" w:space="0"/>
              <w:bottom w:val="single" w:color="000000" w:sz="4" w:space="0"/>
              <w:right w:val="single" w:color="000000" w:sz="4" w:space="0"/>
            </w:tcBorders>
            <w:shd w:val="clear" w:color="auto" w:fill="auto"/>
          </w:tcPr>
          <w:p>
            <w:pPr>
              <w:pStyle w:val="ConsPlusNormal"/>
              <w:jc w:val="center"/>
            </w:pPr>
            <w:r>
              <w:t xml:space="preserve">Значения показателей (индикаторов) достижения цели Программы и показателей решения задач Программы по годам</w:t>
            </w:r>
          </w:p>
        </w:tc>
      </w:tr>
      <w:tr>
        <w:tc>
          <w:tcPr>
            <w:tcW w:w="567" w:type="dxa"/>
            <w:vMerge w:val="continue"/>
            <w:tcBorders>
              <w:top w:val="single" w:color="000000" w:sz="4" w:space="0"/>
              <w:left w:val="single" w:color="000000" w:sz="4" w:space="0"/>
              <w:bottom w:val="single" w:color="000000" w:sz="4" w:space="0"/>
            </w:tcBorders>
            <w:shd w:val="clear" w:color="auto" w:fill="auto"/>
          </w:tcPr>
          <w:p>
            <w:pPr>
              <w:pStyle w:val="ConsPlusNormal"/>
              <w:jc w:val="both"/>
            </w:pPr>
          </w:p>
        </w:tc>
        <w:tc>
          <w:tcPr>
            <w:tcW w:w="5387" w:type="dxa"/>
            <w:vMerge w:val="continue"/>
            <w:tcBorders>
              <w:top w:val="single" w:color="000000" w:sz="4" w:space="0"/>
              <w:left w:val="single" w:color="000000" w:sz="4" w:space="0"/>
              <w:bottom w:val="single" w:color="000000" w:sz="4" w:space="0"/>
            </w:tcBorders>
            <w:shd w:val="clear" w:color="auto" w:fill="auto"/>
          </w:tcPr>
          <w:p>
            <w:pPr>
              <w:pStyle w:val="ConsPlusNormal"/>
              <w:jc w:val="both"/>
            </w:pPr>
          </w:p>
        </w:tc>
        <w:tc>
          <w:tcPr>
            <w:tcW w:w="1984" w:type="dxa"/>
            <w:vMerge w:val="continue"/>
            <w:tcBorders>
              <w:top w:val="single" w:color="000000" w:sz="4" w:space="0"/>
              <w:left w:val="single" w:color="000000" w:sz="4" w:space="0"/>
              <w:bottom w:val="single" w:color="000000" w:sz="4" w:space="0"/>
            </w:tcBorders>
            <w:shd w:val="clear" w:color="auto" w:fill="auto"/>
          </w:tcPr>
          <w:p>
            <w:pPr>
              <w:pStyle w:val="ConsPlusNormal"/>
              <w:jc w:val="both"/>
            </w:pPr>
          </w:p>
        </w:tc>
        <w:tc>
          <w:tcPr>
            <w:tcW w:w="10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ind w:right="-62"/>
              <w:jc w:val="center"/>
            </w:pPr>
            <w:r>
              <w:t xml:space="preserve">2021</w:t>
            </w:r>
          </w:p>
        </w:tc>
        <w:tc>
          <w:tcPr>
            <w:tcW w:w="1028" w:type="dxa"/>
            <w:tcBorders>
              <w:top w:val="single" w:color="000000" w:sz="4" w:space="0"/>
              <w:left w:val="single" w:color="auto" w:sz="4" w:space="0"/>
              <w:bottom w:val="single" w:color="000000" w:sz="4" w:space="0"/>
            </w:tcBorders>
            <w:shd w:val="clear" w:color="auto" w:fill="auto"/>
          </w:tcPr>
          <w:p>
            <w:pPr>
              <w:pStyle w:val="ConsPlusNormal"/>
              <w:ind w:right="-62"/>
              <w:jc w:val="center"/>
            </w:pPr>
            <w:r>
              <w:t xml:space="preserve">2022</w:t>
            </w:r>
          </w:p>
        </w:tc>
        <w:tc>
          <w:tcPr>
            <w:tcW w:w="1028" w:type="dxa"/>
            <w:tcBorders>
              <w:top w:val="single" w:color="000000" w:sz="4" w:space="0"/>
              <w:left w:val="single" w:color="000000" w:sz="4" w:space="0"/>
              <w:bottom w:val="single" w:color="000000" w:sz="4" w:space="0"/>
            </w:tcBorders>
            <w:shd w:val="clear" w:color="auto" w:fill="auto"/>
          </w:tcPr>
          <w:p>
            <w:pPr>
              <w:pStyle w:val="ConsPlusNormal"/>
              <w:ind w:right="-62"/>
              <w:jc w:val="center"/>
            </w:pPr>
            <w:r>
              <w:t xml:space="preserve">2023</w:t>
            </w:r>
          </w:p>
        </w:tc>
        <w:tc>
          <w:tcPr>
            <w:tcW w:w="1028" w:type="dxa"/>
            <w:tcBorders>
              <w:top w:val="single" w:color="000000" w:sz="4" w:space="0"/>
              <w:left w:val="single" w:color="000000" w:sz="4" w:space="0"/>
              <w:bottom w:val="single" w:color="000000" w:sz="4" w:space="0"/>
            </w:tcBorders>
            <w:shd w:val="clear" w:color="auto" w:fill="auto"/>
          </w:tcPr>
          <w:p>
            <w:pPr>
              <w:pStyle w:val="ConsPlusNormal"/>
              <w:ind w:right="-62"/>
              <w:jc w:val="center"/>
            </w:pPr>
            <w:r>
              <w:t xml:space="preserve">2024</w:t>
            </w:r>
          </w:p>
        </w:tc>
        <w:tc>
          <w:tcPr>
            <w:tcW w:w="1027" w:type="dxa"/>
            <w:tcBorders>
              <w:top w:val="single" w:color="000000" w:sz="4" w:space="0"/>
              <w:left w:val="single" w:color="000000" w:sz="4" w:space="0"/>
              <w:bottom w:val="single" w:color="000000" w:sz="4" w:space="0"/>
            </w:tcBorders>
            <w:shd w:val="clear" w:color="auto" w:fill="auto"/>
          </w:tcPr>
          <w:p>
            <w:pPr>
              <w:pStyle w:val="ConsPlusNormal"/>
              <w:ind w:right="-62"/>
              <w:jc w:val="center"/>
            </w:pPr>
            <w:r>
              <w:t xml:space="preserve">2025</w:t>
            </w:r>
          </w:p>
        </w:tc>
        <w:tc>
          <w:tcPr>
            <w:tcW w:w="1028" w:type="dxa"/>
            <w:tcBorders>
              <w:top w:val="single" w:color="000000" w:sz="4" w:space="0"/>
              <w:left w:val="single" w:color="000000" w:sz="4" w:space="0"/>
              <w:bottom w:val="single" w:color="000000" w:sz="4" w:space="0"/>
            </w:tcBorders>
            <w:shd w:val="clear" w:color="auto" w:fill="auto"/>
          </w:tcPr>
          <w:p>
            <w:pPr>
              <w:pStyle w:val="ConsPlusNormal"/>
              <w:ind w:right="-62"/>
              <w:jc w:val="center"/>
            </w:pPr>
            <w:r>
              <w:t xml:space="preserve">2026</w:t>
            </w:r>
          </w:p>
        </w:tc>
        <w:tc>
          <w:tcPr>
            <w:tcW w:w="1028"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ind w:right="-62"/>
              <w:jc w:val="center"/>
            </w:pPr>
            <w:r>
              <w:t xml:space="preserve">2027</w:t>
            </w:r>
          </w:p>
        </w:tc>
        <w:tc>
          <w:tcPr>
            <w:tcW w:w="1028" w:type="dxa"/>
            <w:tcBorders>
              <w:top w:val="single" w:color="000000" w:sz="4" w:space="0"/>
              <w:left w:val="single" w:color="auto" w:sz="4" w:space="0"/>
              <w:bottom w:val="single" w:color="000000" w:sz="4" w:space="0"/>
              <w:right w:val="single" w:color="000000" w:sz="4" w:space="0"/>
            </w:tcBorders>
            <w:shd w:val="clear" w:color="auto" w:fill="auto"/>
          </w:tcPr>
          <w:p>
            <w:pPr>
              <w:pStyle w:val="ConsPlusNormal"/>
              <w:ind w:right="-62"/>
              <w:jc w:val="center"/>
            </w:pPr>
            <w:r>
              <w:t xml:space="preserve">2028</w:t>
            </w:r>
          </w:p>
        </w:tc>
      </w:tr>
      <w:tr>
        <w:trPr>
          <w:trHeight w:val="185"/>
        </w:trPr>
        <w:tc>
          <w:tcPr>
            <w:tcW w:w="56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w:t>
            </w:r>
          </w:p>
        </w:tc>
        <w:tc>
          <w:tcPr>
            <w:tcW w:w="538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2</w:t>
            </w:r>
          </w:p>
        </w:tc>
        <w:tc>
          <w:tcPr>
            <w:tcW w:w="1984"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3</w:t>
            </w:r>
          </w:p>
        </w:tc>
        <w:tc>
          <w:tcPr>
            <w:tcW w:w="10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4</w:t>
            </w:r>
          </w:p>
        </w:tc>
        <w:tc>
          <w:tcPr>
            <w:tcW w:w="1028" w:type="dxa"/>
            <w:tcBorders>
              <w:top w:val="single" w:color="000000" w:sz="4" w:space="0"/>
              <w:left w:val="single" w:color="auto" w:sz="4" w:space="0"/>
              <w:bottom w:val="single" w:color="000000" w:sz="4" w:space="0"/>
            </w:tcBorders>
            <w:shd w:val="clear" w:color="auto" w:fill="auto"/>
          </w:tcPr>
          <w:p>
            <w:pPr>
              <w:pStyle w:val="ConsPlusNormal"/>
              <w:jc w:val="center"/>
            </w:pPr>
            <w:r>
              <w:t xml:space="preserve">5</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6</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7</w:t>
            </w:r>
          </w:p>
        </w:tc>
        <w:tc>
          <w:tcPr>
            <w:tcW w:w="102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8</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9</w:t>
            </w:r>
          </w:p>
        </w:tc>
        <w:tc>
          <w:tcPr>
            <w:tcW w:w="1028"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10</w:t>
            </w:r>
          </w:p>
        </w:tc>
        <w:tc>
          <w:tcPr>
            <w:tcW w:w="1028" w:type="dxa"/>
            <w:tcBorders>
              <w:top w:val="single" w:color="000000" w:sz="4" w:space="0"/>
              <w:left w:val="single" w:color="auto" w:sz="4" w:space="0"/>
              <w:bottom w:val="single" w:color="000000" w:sz="4" w:space="0"/>
              <w:right w:val="single" w:color="000000" w:sz="4" w:space="0"/>
            </w:tcBorders>
            <w:shd w:val="clear" w:color="auto" w:fill="auto"/>
          </w:tcPr>
          <w:p>
            <w:pPr>
              <w:pStyle w:val="ConsPlusNormal"/>
              <w:jc w:val="center"/>
            </w:pPr>
            <w:r>
              <w:t xml:space="preserve">11</w:t>
            </w:r>
          </w:p>
        </w:tc>
      </w:tr>
      <w:tr>
        <w:tc>
          <w:tcPr>
            <w:tcW w:w="16160" w:type="dxa"/>
            <w:gridSpan w:val="11"/>
            <w:tcBorders>
              <w:top w:val="single" w:color="000000" w:sz="4" w:space="0"/>
              <w:left w:val="single" w:color="000000" w:sz="4" w:space="0"/>
              <w:bottom w:val="single" w:color="000000" w:sz="4" w:space="0"/>
              <w:right w:val="single" w:color="000000" w:sz="4" w:space="0"/>
            </w:tcBorders>
            <w:shd w:val="clear" w:color="auto" w:fill="auto"/>
          </w:tcPr>
          <w:p>
            <w:pPr>
              <w:pStyle w:val="ConsPlusNormal"/>
            </w:pPr>
            <w:bookmarkStart w:id="4" w:name="Par2706"/>
            <w:bookmarkEnd w:id="4"/>
            <w:r>
              <w:t xml:space="preserve">Цель: Обеспечение эффективного использования топливно-энергетических ресурсов за счет реализации мероприятий по энергосбережению и повышению энергетической эффективности на территории города Ставрополя</w:t>
            </w:r>
          </w:p>
        </w:tc>
      </w:tr>
      <w:tr>
        <w:trPr>
          <w:trHeight w:val="1481"/>
        </w:trPr>
        <w:tc>
          <w:tcPr>
            <w:tcW w:w="56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w:t>
            </w:r>
          </w:p>
        </w:tc>
        <w:tc>
          <w:tcPr>
            <w:tcW w:w="5387" w:type="dxa"/>
            <w:tcBorders>
              <w:top w:val="single" w:color="000000" w:sz="4" w:space="0"/>
              <w:left w:val="single" w:color="000000" w:sz="4" w:space="0"/>
              <w:bottom w:val="single" w:color="000000" w:sz="4" w:space="0"/>
            </w:tcBorders>
            <w:shd w:val="clear" w:color="auto" w:fill="auto"/>
          </w:tcPr>
          <w:p>
            <w:pPr>
              <w:pStyle w:val="ConsPlusNormal"/>
            </w:pPr>
            <w: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города Ставрополя</w:t>
            </w:r>
          </w:p>
        </w:tc>
        <w:tc>
          <w:tcPr>
            <w:tcW w:w="1984"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процентов</w:t>
            </w:r>
          </w:p>
        </w:tc>
        <w:tc>
          <w:tcPr>
            <w:tcW w:w="10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98</w:t>
            </w:r>
          </w:p>
        </w:tc>
        <w:tc>
          <w:tcPr>
            <w:tcW w:w="1028" w:type="dxa"/>
            <w:tcBorders>
              <w:top w:val="single" w:color="000000" w:sz="4" w:space="0"/>
              <w:left w:val="single" w:color="auto" w:sz="4" w:space="0"/>
              <w:bottom w:val="single" w:color="000000" w:sz="4" w:space="0"/>
            </w:tcBorders>
            <w:shd w:val="clear" w:color="auto" w:fill="auto"/>
          </w:tcPr>
          <w:p>
            <w:pPr>
              <w:pStyle w:val="ConsPlusNormal"/>
              <w:jc w:val="center"/>
            </w:pPr>
            <w:r>
              <w:t xml:space="preserve">99</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99</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99</w:t>
            </w:r>
          </w:p>
        </w:tc>
        <w:tc>
          <w:tcPr>
            <w:tcW w:w="102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100</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100</w:t>
            </w:r>
          </w:p>
        </w:tc>
        <w:tc>
          <w:tcPr>
            <w:tcW w:w="1028"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100</w:t>
            </w:r>
          </w:p>
        </w:tc>
        <w:tc>
          <w:tcPr>
            <w:tcW w:w="1028" w:type="dxa"/>
            <w:tcBorders>
              <w:top w:val="single" w:color="000000" w:sz="4" w:space="0"/>
              <w:left w:val="single" w:color="auto" w:sz="4" w:space="0"/>
              <w:bottom w:val="single" w:color="000000" w:sz="4" w:space="0"/>
              <w:right w:val="single" w:color="000000" w:sz="4" w:space="0"/>
            </w:tcBorders>
            <w:shd w:val="clear" w:color="auto" w:fill="auto"/>
          </w:tcPr>
          <w:p>
            <w:pPr>
              <w:pStyle w:val="ConsPlusNormal"/>
              <w:jc w:val="center"/>
            </w:pPr>
            <w:r>
              <w:t xml:space="preserve">100</w:t>
            </w:r>
          </w:p>
        </w:tc>
      </w:tr>
      <w:tr>
        <w:trPr>
          <w:trHeight w:val="1321"/>
        </w:trPr>
        <w:tc>
          <w:tcPr>
            <w:tcW w:w="567" w:type="dxa"/>
            <w:tcBorders>
              <w:top w:val="single" w:color="auto" w:sz="4" w:space="0"/>
              <w:left w:val="single" w:color="000000" w:sz="4" w:space="0"/>
              <w:bottom w:val="single" w:color="000000" w:sz="4" w:space="0"/>
            </w:tcBorders>
            <w:shd w:val="clear" w:color="auto" w:fill="auto"/>
          </w:tcPr>
          <w:p>
            <w:pPr>
              <w:pStyle w:val="ConsPlusNormal"/>
              <w:jc w:val="center"/>
            </w:pPr>
            <w:r>
              <w:t xml:space="preserve">2.</w:t>
            </w:r>
          </w:p>
        </w:tc>
        <w:tc>
          <w:tcPr>
            <w:tcW w:w="5387" w:type="dxa"/>
            <w:tcBorders>
              <w:top w:val="single" w:color="auto" w:sz="4" w:space="0"/>
              <w:left w:val="single" w:color="000000" w:sz="4" w:space="0"/>
              <w:bottom w:val="single" w:color="000000" w:sz="4" w:space="0"/>
            </w:tcBorders>
            <w:shd w:val="clear" w:color="auto" w:fill="auto"/>
          </w:tcPr>
          <w:p>
            <w:pPr>
              <w:pStyle w:val="ConsPlusNormal"/>
            </w:pPr>
            <w: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города Ставрополя</w:t>
            </w:r>
          </w:p>
        </w:tc>
        <w:tc>
          <w:tcPr>
            <w:tcW w:w="1984" w:type="dxa"/>
            <w:tcBorders>
              <w:top w:val="single" w:color="auto" w:sz="4" w:space="0"/>
              <w:left w:val="single" w:color="000000" w:sz="4" w:space="0"/>
              <w:bottom w:val="single" w:color="000000" w:sz="4" w:space="0"/>
            </w:tcBorders>
            <w:shd w:val="clear" w:color="auto" w:fill="auto"/>
          </w:tcPr>
          <w:p>
            <w:pPr>
              <w:pStyle w:val="ConsPlusNormal"/>
              <w:jc w:val="center"/>
            </w:pPr>
            <w:r>
              <w:t xml:space="preserve">процентов</w:t>
            </w:r>
          </w:p>
        </w:tc>
        <w:tc>
          <w:tcPr>
            <w:tcW w:w="1027" w:type="dxa"/>
            <w:tcBorders>
              <w:top w:val="single" w:color="auto" w:sz="4" w:space="0"/>
              <w:left w:val="single" w:color="000000" w:sz="4" w:space="0"/>
              <w:bottom w:val="single" w:color="000000" w:sz="4" w:space="0"/>
              <w:right w:val="single" w:color="auto" w:sz="4" w:space="0"/>
            </w:tcBorders>
            <w:shd w:val="clear" w:color="auto" w:fill="auto"/>
          </w:tcPr>
          <w:p>
            <w:pPr>
              <w:pStyle w:val="ConsPlusNormal"/>
              <w:jc w:val="center"/>
            </w:pPr>
            <w:r>
              <w:t xml:space="preserve">76</w:t>
            </w:r>
          </w:p>
        </w:tc>
        <w:tc>
          <w:tcPr>
            <w:tcW w:w="1028" w:type="dxa"/>
            <w:tcBorders>
              <w:top w:val="single" w:color="auto" w:sz="4" w:space="0"/>
              <w:left w:val="single" w:color="auto" w:sz="4" w:space="0"/>
              <w:bottom w:val="single" w:color="000000" w:sz="4" w:space="0"/>
            </w:tcBorders>
            <w:shd w:val="clear" w:color="auto" w:fill="auto"/>
          </w:tcPr>
          <w:p>
            <w:pPr>
              <w:pStyle w:val="ConsPlusNormal"/>
              <w:jc w:val="center"/>
            </w:pPr>
            <w:r>
              <w:t xml:space="preserve">77,4</w:t>
            </w:r>
          </w:p>
        </w:tc>
        <w:tc>
          <w:tcPr>
            <w:tcW w:w="1028" w:type="dxa"/>
            <w:tcBorders>
              <w:top w:val="single" w:color="auto" w:sz="4" w:space="0"/>
              <w:left w:val="single" w:color="000000" w:sz="4" w:space="0"/>
              <w:bottom w:val="single" w:color="000000" w:sz="4" w:space="0"/>
            </w:tcBorders>
            <w:shd w:val="clear" w:color="auto" w:fill="auto"/>
          </w:tcPr>
          <w:p>
            <w:pPr>
              <w:pStyle w:val="ConsPlusNormal"/>
              <w:jc w:val="center"/>
            </w:pPr>
            <w:r>
              <w:t xml:space="preserve">77,8</w:t>
            </w:r>
          </w:p>
        </w:tc>
        <w:tc>
          <w:tcPr>
            <w:tcW w:w="1028" w:type="dxa"/>
            <w:tcBorders>
              <w:top w:val="single" w:color="auto" w:sz="4" w:space="0"/>
              <w:left w:val="single" w:color="000000" w:sz="4" w:space="0"/>
              <w:bottom w:val="single" w:color="000000" w:sz="4" w:space="0"/>
            </w:tcBorders>
            <w:shd w:val="clear" w:color="auto" w:fill="auto"/>
          </w:tcPr>
          <w:p>
            <w:pPr>
              <w:pStyle w:val="ConsPlusNormal"/>
              <w:jc w:val="center"/>
            </w:pPr>
            <w:r>
              <w:t xml:space="preserve">77,8</w:t>
            </w:r>
          </w:p>
        </w:tc>
        <w:tc>
          <w:tcPr>
            <w:tcW w:w="1027" w:type="dxa"/>
            <w:tcBorders>
              <w:top w:val="single" w:color="auto" w:sz="4" w:space="0"/>
              <w:left w:val="single" w:color="000000" w:sz="4" w:space="0"/>
              <w:bottom w:val="single" w:color="000000" w:sz="4" w:space="0"/>
            </w:tcBorders>
            <w:shd w:val="clear" w:color="auto" w:fill="auto"/>
          </w:tcPr>
          <w:p>
            <w:pPr>
              <w:pStyle w:val="ConsPlusNormal"/>
              <w:jc w:val="center"/>
            </w:pPr>
            <w:r>
              <w:t xml:space="preserve">77,9</w:t>
            </w:r>
          </w:p>
        </w:tc>
        <w:tc>
          <w:tcPr>
            <w:tcW w:w="1028" w:type="dxa"/>
            <w:tcBorders>
              <w:top w:val="single" w:color="auto" w:sz="4" w:space="0"/>
              <w:left w:val="single" w:color="000000" w:sz="4" w:space="0"/>
              <w:bottom w:val="single" w:color="000000" w:sz="4" w:space="0"/>
            </w:tcBorders>
            <w:shd w:val="clear" w:color="auto" w:fill="auto"/>
          </w:tcPr>
          <w:p>
            <w:pPr>
              <w:pStyle w:val="ConsPlusNormal"/>
              <w:jc w:val="center"/>
            </w:pPr>
            <w:r>
              <w:t xml:space="preserve">78</w:t>
            </w:r>
          </w:p>
        </w:tc>
        <w:tc>
          <w:tcPr>
            <w:tcW w:w="1028" w:type="dxa"/>
            <w:tcBorders>
              <w:top w:val="single" w:color="auto" w:sz="4" w:space="0"/>
              <w:left w:val="single" w:color="000000" w:sz="4" w:space="0"/>
              <w:bottom w:val="single" w:color="000000" w:sz="4" w:space="0"/>
              <w:right w:val="single" w:color="auto" w:sz="4" w:space="0"/>
            </w:tcBorders>
            <w:shd w:val="clear" w:color="auto" w:fill="auto"/>
          </w:tcPr>
          <w:p>
            <w:pPr>
              <w:pStyle w:val="ConsPlusNormal"/>
              <w:jc w:val="center"/>
            </w:pPr>
            <w:r>
              <w:t xml:space="preserve">78</w:t>
            </w:r>
          </w:p>
        </w:tc>
        <w:tc>
          <w:tcPr>
            <w:tcW w:w="1028" w:type="dxa"/>
            <w:tcBorders>
              <w:top w:val="single" w:color="auto" w:sz="4" w:space="0"/>
              <w:left w:val="single" w:color="auto" w:sz="4" w:space="0"/>
              <w:bottom w:val="single" w:color="000000" w:sz="4" w:space="0"/>
              <w:right w:val="single" w:color="000000" w:sz="4" w:space="0"/>
            </w:tcBorders>
            <w:shd w:val="clear" w:color="auto" w:fill="auto"/>
          </w:tcPr>
          <w:p>
            <w:pPr>
              <w:pStyle w:val="ConsPlusNormal"/>
              <w:jc w:val="center"/>
            </w:pPr>
            <w:r>
              <w:t xml:space="preserve">79</w:t>
            </w:r>
          </w:p>
        </w:tc>
      </w:tr>
      <w:tr>
        <w:tc>
          <w:tcPr>
            <w:tcW w:w="56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3.</w:t>
            </w:r>
          </w:p>
        </w:tc>
        <w:tc>
          <w:tcPr>
            <w:tcW w:w="5387" w:type="dxa"/>
            <w:tcBorders>
              <w:top w:val="single" w:color="000000" w:sz="4" w:space="0"/>
              <w:left w:val="single" w:color="000000" w:sz="4" w:space="0"/>
              <w:bottom w:val="single" w:color="000000" w:sz="4" w:space="0"/>
            </w:tcBorders>
            <w:shd w:val="clear" w:color="auto" w:fill="auto"/>
          </w:tcPr>
          <w:p>
            <w:pPr>
              <w:pStyle w:val="ConsPlusNormal"/>
            </w:pPr>
            <w:r>
              <w:t xml:space="preserve">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города</w:t>
            </w:r>
            <w:r>
              <w:t xml:space="preserve"> </w:t>
            </w:r>
            <w:r>
              <w:t xml:space="preserve">Ставрополя</w:t>
            </w:r>
          </w:p>
        </w:tc>
        <w:tc>
          <w:tcPr>
            <w:tcW w:w="1984"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процентов</w:t>
            </w:r>
          </w:p>
        </w:tc>
        <w:tc>
          <w:tcPr>
            <w:tcW w:w="10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83</w:t>
            </w:r>
          </w:p>
        </w:tc>
        <w:tc>
          <w:tcPr>
            <w:tcW w:w="1028" w:type="dxa"/>
            <w:tcBorders>
              <w:top w:val="single" w:color="000000" w:sz="4" w:space="0"/>
              <w:left w:val="single" w:color="auto" w:sz="4" w:space="0"/>
              <w:bottom w:val="single" w:color="000000" w:sz="4" w:space="0"/>
            </w:tcBorders>
            <w:shd w:val="clear" w:color="auto" w:fill="auto"/>
          </w:tcPr>
          <w:p>
            <w:pPr>
              <w:pStyle w:val="ConsPlusNormal"/>
              <w:jc w:val="center"/>
            </w:pPr>
            <w:r>
              <w:t xml:space="preserve">85</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86</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87</w:t>
            </w:r>
          </w:p>
        </w:tc>
        <w:tc>
          <w:tcPr>
            <w:tcW w:w="102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88</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89</w:t>
            </w:r>
          </w:p>
        </w:tc>
        <w:tc>
          <w:tcPr>
            <w:tcW w:w="1028"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90</w:t>
            </w:r>
          </w:p>
        </w:tc>
        <w:tc>
          <w:tcPr>
            <w:tcW w:w="1028" w:type="dxa"/>
            <w:tcBorders>
              <w:top w:val="single" w:color="000000" w:sz="4" w:space="0"/>
              <w:left w:val="single" w:color="auto" w:sz="4" w:space="0"/>
              <w:bottom w:val="single" w:color="000000" w:sz="4" w:space="0"/>
              <w:right w:val="single" w:color="000000" w:sz="4" w:space="0"/>
            </w:tcBorders>
            <w:shd w:val="clear" w:color="auto" w:fill="auto"/>
          </w:tcPr>
          <w:p>
            <w:pPr>
              <w:pStyle w:val="ConsPlusNormal"/>
              <w:jc w:val="center"/>
            </w:pPr>
            <w:r>
              <w:t xml:space="preserve">91</w:t>
            </w:r>
          </w:p>
        </w:tc>
      </w:tr>
      <w:tr>
        <w:trPr>
          <w:trHeight w:val="220"/>
        </w:trPr>
        <w:tc>
          <w:tcPr>
            <w:tcW w:w="567" w:type="dxa"/>
            <w:tcBorders>
              <w:top w:val="single" w:color="000000" w:sz="4" w:space="0"/>
              <w:left w:val="single" w:color="000000" w:sz="4" w:space="0"/>
              <w:bottom w:val="single" w:color="auto" w:sz="4" w:space="0"/>
            </w:tcBorders>
            <w:shd w:val="clear" w:color="auto" w:fill="auto"/>
          </w:tcPr>
          <w:p>
            <w:pPr>
              <w:pStyle w:val="ConsPlusNormal"/>
              <w:jc w:val="center"/>
            </w:pPr>
            <w:r>
              <w:t xml:space="preserve">1</w:t>
            </w:r>
          </w:p>
        </w:tc>
        <w:tc>
          <w:tcPr>
            <w:tcW w:w="5387" w:type="dxa"/>
            <w:tcBorders>
              <w:top w:val="single" w:color="000000" w:sz="4" w:space="0"/>
              <w:left w:val="single" w:color="000000" w:sz="4" w:space="0"/>
              <w:bottom w:val="single" w:color="auto" w:sz="4" w:space="0"/>
            </w:tcBorders>
            <w:shd w:val="clear" w:color="auto" w:fill="auto"/>
          </w:tcPr>
          <w:p>
            <w:pPr>
              <w:pStyle w:val="ConsPlusNormal"/>
              <w:jc w:val="center"/>
            </w:pPr>
            <w:r>
              <w:t xml:space="preserve">2</w:t>
            </w:r>
          </w:p>
        </w:tc>
        <w:tc>
          <w:tcPr>
            <w:tcW w:w="1984" w:type="dxa"/>
            <w:tcBorders>
              <w:top w:val="single" w:color="000000" w:sz="4" w:space="0"/>
              <w:left w:val="single" w:color="000000" w:sz="4" w:space="0"/>
              <w:bottom w:val="single" w:color="auto" w:sz="4" w:space="0"/>
            </w:tcBorders>
            <w:shd w:val="clear" w:color="auto" w:fill="auto"/>
          </w:tcPr>
          <w:p>
            <w:pPr>
              <w:pStyle w:val="ConsPlusNormal"/>
              <w:jc w:val="center"/>
            </w:pPr>
            <w:r>
              <w:t xml:space="preserve">3</w:t>
            </w:r>
          </w:p>
        </w:tc>
        <w:tc>
          <w:tcPr>
            <w:tcW w:w="1027" w:type="dxa"/>
            <w:tcBorders>
              <w:top w:val="single" w:color="000000" w:sz="4" w:space="0"/>
              <w:left w:val="single" w:color="000000" w:sz="4" w:space="0"/>
              <w:bottom w:val="single" w:color="auto" w:sz="4" w:space="0"/>
              <w:right w:val="single" w:color="auto" w:sz="4" w:space="0"/>
            </w:tcBorders>
            <w:shd w:val="clear" w:color="auto" w:fill="auto"/>
          </w:tcPr>
          <w:p>
            <w:pPr>
              <w:pStyle w:val="ConsPlusNormal"/>
              <w:jc w:val="center"/>
            </w:pPr>
            <w:r>
              <w:t xml:space="preserve">4</w:t>
            </w:r>
          </w:p>
        </w:tc>
        <w:tc>
          <w:tcPr>
            <w:tcW w:w="1028" w:type="dxa"/>
            <w:tcBorders>
              <w:top w:val="single" w:color="000000" w:sz="4" w:space="0"/>
              <w:left w:val="single" w:color="auto" w:sz="4" w:space="0"/>
              <w:bottom w:val="single" w:color="auto" w:sz="4" w:space="0"/>
            </w:tcBorders>
            <w:shd w:val="clear" w:color="auto" w:fill="auto"/>
          </w:tcPr>
          <w:p>
            <w:pPr>
              <w:pStyle w:val="ConsPlusNormal"/>
              <w:jc w:val="center"/>
            </w:pPr>
            <w:r>
              <w:t xml:space="preserve">5</w:t>
            </w:r>
          </w:p>
        </w:tc>
        <w:tc>
          <w:tcPr>
            <w:tcW w:w="1028" w:type="dxa"/>
            <w:tcBorders>
              <w:top w:val="single" w:color="000000" w:sz="4" w:space="0"/>
              <w:left w:val="single" w:color="000000" w:sz="4" w:space="0"/>
              <w:bottom w:val="single" w:color="auto" w:sz="4" w:space="0"/>
            </w:tcBorders>
            <w:shd w:val="clear" w:color="auto" w:fill="auto"/>
          </w:tcPr>
          <w:p>
            <w:pPr>
              <w:pStyle w:val="ConsPlusNormal"/>
              <w:jc w:val="center"/>
            </w:pPr>
            <w:r>
              <w:t xml:space="preserve">6</w:t>
            </w:r>
          </w:p>
        </w:tc>
        <w:tc>
          <w:tcPr>
            <w:tcW w:w="1028" w:type="dxa"/>
            <w:tcBorders>
              <w:top w:val="single" w:color="000000" w:sz="4" w:space="0"/>
              <w:left w:val="single" w:color="000000" w:sz="4" w:space="0"/>
              <w:bottom w:val="single" w:color="auto" w:sz="4" w:space="0"/>
            </w:tcBorders>
            <w:shd w:val="clear" w:color="auto" w:fill="auto"/>
          </w:tcPr>
          <w:p>
            <w:pPr>
              <w:pStyle w:val="ConsPlusNormal"/>
              <w:jc w:val="center"/>
            </w:pPr>
            <w:r>
              <w:t xml:space="preserve">7</w:t>
            </w:r>
          </w:p>
        </w:tc>
        <w:tc>
          <w:tcPr>
            <w:tcW w:w="1027" w:type="dxa"/>
            <w:tcBorders>
              <w:top w:val="single" w:color="000000" w:sz="4" w:space="0"/>
              <w:left w:val="single" w:color="000000" w:sz="4" w:space="0"/>
              <w:bottom w:val="single" w:color="auto" w:sz="4" w:space="0"/>
            </w:tcBorders>
            <w:shd w:val="clear" w:color="auto" w:fill="auto"/>
          </w:tcPr>
          <w:p>
            <w:pPr>
              <w:pStyle w:val="ConsPlusNormal"/>
              <w:jc w:val="center"/>
            </w:pPr>
            <w:r>
              <w:t xml:space="preserve">8</w:t>
            </w:r>
          </w:p>
        </w:tc>
        <w:tc>
          <w:tcPr>
            <w:tcW w:w="1028" w:type="dxa"/>
            <w:tcBorders>
              <w:top w:val="single" w:color="000000" w:sz="4" w:space="0"/>
              <w:left w:val="single" w:color="000000" w:sz="4" w:space="0"/>
              <w:bottom w:val="single" w:color="auto" w:sz="4" w:space="0"/>
            </w:tcBorders>
            <w:shd w:val="clear" w:color="auto" w:fill="auto"/>
          </w:tcPr>
          <w:p>
            <w:pPr>
              <w:pStyle w:val="ConsPlusNormal"/>
              <w:jc w:val="center"/>
            </w:pPr>
            <w:r>
              <w:t xml:space="preserve">9</w:t>
            </w:r>
          </w:p>
        </w:tc>
        <w:tc>
          <w:tcPr>
            <w:tcW w:w="1028" w:type="dxa"/>
            <w:tcBorders>
              <w:top w:val="single" w:color="000000" w:sz="4" w:space="0"/>
              <w:left w:val="single" w:color="000000" w:sz="4" w:space="0"/>
              <w:bottom w:val="single" w:color="auto" w:sz="4" w:space="0"/>
              <w:right w:val="single" w:color="auto" w:sz="4" w:space="0"/>
            </w:tcBorders>
            <w:shd w:val="clear" w:color="auto" w:fill="auto"/>
          </w:tcPr>
          <w:p>
            <w:pPr>
              <w:pStyle w:val="ConsPlusNormal"/>
              <w:jc w:val="center"/>
            </w:pPr>
            <w:r>
              <w:t xml:space="preserve">10</w:t>
            </w:r>
          </w:p>
        </w:tc>
        <w:tc>
          <w:tcPr>
            <w:tcW w:w="1028" w:type="dxa"/>
            <w:tcBorders>
              <w:top w:val="single" w:color="000000" w:sz="4" w:space="0"/>
              <w:left w:val="single" w:color="auto" w:sz="4" w:space="0"/>
              <w:bottom w:val="single" w:color="auto" w:sz="4" w:space="0"/>
              <w:right w:val="single" w:color="000000" w:sz="4" w:space="0"/>
            </w:tcBorders>
            <w:shd w:val="clear" w:color="auto" w:fill="auto"/>
          </w:tcPr>
          <w:p>
            <w:pPr>
              <w:pStyle w:val="ConsPlusNormal"/>
              <w:jc w:val="center"/>
            </w:pPr>
            <w:r>
              <w:t xml:space="preserve">11</w:t>
            </w:r>
          </w:p>
        </w:tc>
      </w:tr>
      <w:tr>
        <w:trPr>
          <w:trHeight w:val="1275"/>
        </w:trPr>
        <w:tc>
          <w:tcPr>
            <w:tcW w:w="567" w:type="dxa"/>
            <w:tcBorders>
              <w:top w:val="single" w:color="auto" w:sz="4" w:space="0"/>
              <w:left w:val="single" w:color="000000" w:sz="4" w:space="0"/>
              <w:bottom w:val="single" w:color="000000" w:sz="4" w:space="0"/>
            </w:tcBorders>
            <w:shd w:val="clear" w:color="auto" w:fill="auto"/>
          </w:tcPr>
          <w:p>
            <w:pPr>
              <w:pStyle w:val="ConsPlusNormal"/>
              <w:jc w:val="center"/>
            </w:pPr>
            <w:r>
              <w:t xml:space="preserve">4.</w:t>
            </w:r>
          </w:p>
        </w:tc>
        <w:tc>
          <w:tcPr>
            <w:tcW w:w="5387" w:type="dxa"/>
            <w:tcBorders>
              <w:top w:val="single" w:color="auto" w:sz="4" w:space="0"/>
              <w:left w:val="single" w:color="000000" w:sz="4" w:space="0"/>
              <w:bottom w:val="single" w:color="000000" w:sz="4" w:space="0"/>
            </w:tcBorders>
            <w:shd w:val="clear" w:color="auto" w:fill="auto"/>
          </w:tcPr>
          <w:p>
            <w:pPr>
              <w:pStyle w:val="ConsPlusNormal"/>
            </w:pPr>
            <w:r>
              <w:t xml:space="preserve">Доля объема природного газа, расчеты </w:t>
            </w:r>
            <w:r>
              <w:t xml:space="preserve">за</w:t>
            </w:r>
            <w:r>
              <w:t xml:space="preserve"> </w:t>
            </w:r>
          </w:p>
          <w:p>
            <w:pPr>
              <w:pStyle w:val="ConsPlusNormal"/>
            </w:pPr>
            <w:r>
              <w:t xml:space="preserve">который</w:t>
            </w:r>
            <w:r>
              <w:t xml:space="preserve"> осуществляются с использованием приборов учета, в общем объеме природного </w:t>
            </w:r>
          </w:p>
          <w:p>
            <w:pPr>
              <w:pStyle w:val="ConsPlusNormal"/>
            </w:pPr>
            <w:r>
              <w:t xml:space="preserve">газа, потребляемого (используемого) на территории города Ставрополя</w:t>
            </w:r>
          </w:p>
        </w:tc>
        <w:tc>
          <w:tcPr>
            <w:tcW w:w="1984" w:type="dxa"/>
            <w:tcBorders>
              <w:top w:val="single" w:color="auto" w:sz="4" w:space="0"/>
              <w:left w:val="single" w:color="000000" w:sz="4" w:space="0"/>
              <w:bottom w:val="single" w:color="000000" w:sz="4" w:space="0"/>
            </w:tcBorders>
            <w:shd w:val="clear" w:color="auto" w:fill="auto"/>
          </w:tcPr>
          <w:p>
            <w:pPr>
              <w:pStyle w:val="ConsPlusNormal"/>
              <w:jc w:val="center"/>
            </w:pPr>
            <w:r>
              <w:t xml:space="preserve">процентов</w:t>
            </w:r>
          </w:p>
        </w:tc>
        <w:tc>
          <w:tcPr>
            <w:tcW w:w="1027" w:type="dxa"/>
            <w:tcBorders>
              <w:top w:val="single" w:color="auto" w:sz="4" w:space="0"/>
              <w:left w:val="single" w:color="000000" w:sz="4" w:space="0"/>
              <w:bottom w:val="single" w:color="000000" w:sz="4" w:space="0"/>
              <w:right w:val="single" w:color="auto" w:sz="4" w:space="0"/>
            </w:tcBorders>
            <w:shd w:val="clear" w:color="auto" w:fill="auto"/>
          </w:tcPr>
          <w:p>
            <w:pPr>
              <w:pStyle w:val="ConsPlusNormal"/>
              <w:jc w:val="center"/>
            </w:pPr>
            <w:r>
              <w:t xml:space="preserve">82</w:t>
            </w:r>
          </w:p>
        </w:tc>
        <w:tc>
          <w:tcPr>
            <w:tcW w:w="1028" w:type="dxa"/>
            <w:tcBorders>
              <w:top w:val="single" w:color="auto" w:sz="4" w:space="0"/>
              <w:left w:val="single" w:color="auto" w:sz="4" w:space="0"/>
              <w:bottom w:val="single" w:color="000000" w:sz="4" w:space="0"/>
            </w:tcBorders>
            <w:shd w:val="clear" w:color="auto" w:fill="auto"/>
          </w:tcPr>
          <w:p>
            <w:pPr>
              <w:pStyle w:val="ConsPlusNormal"/>
              <w:jc w:val="center"/>
            </w:pPr>
            <w:r>
              <w:t xml:space="preserve">84</w:t>
            </w:r>
          </w:p>
        </w:tc>
        <w:tc>
          <w:tcPr>
            <w:tcW w:w="1028" w:type="dxa"/>
            <w:tcBorders>
              <w:top w:val="single" w:color="auto" w:sz="4" w:space="0"/>
              <w:left w:val="single" w:color="000000" w:sz="4" w:space="0"/>
              <w:bottom w:val="single" w:color="000000" w:sz="4" w:space="0"/>
            </w:tcBorders>
            <w:shd w:val="clear" w:color="auto" w:fill="auto"/>
          </w:tcPr>
          <w:p>
            <w:pPr>
              <w:pStyle w:val="ConsPlusNormal"/>
              <w:jc w:val="center"/>
            </w:pPr>
            <w:r>
              <w:t xml:space="preserve">85</w:t>
            </w:r>
          </w:p>
        </w:tc>
        <w:tc>
          <w:tcPr>
            <w:tcW w:w="1028" w:type="dxa"/>
            <w:tcBorders>
              <w:top w:val="single" w:color="auto" w:sz="4" w:space="0"/>
              <w:left w:val="single" w:color="000000" w:sz="4" w:space="0"/>
              <w:bottom w:val="single" w:color="000000" w:sz="4" w:space="0"/>
            </w:tcBorders>
            <w:shd w:val="clear" w:color="auto" w:fill="auto"/>
          </w:tcPr>
          <w:p>
            <w:pPr>
              <w:pStyle w:val="ConsPlusNormal"/>
              <w:jc w:val="center"/>
            </w:pPr>
            <w:r>
              <w:t xml:space="preserve">86</w:t>
            </w:r>
          </w:p>
        </w:tc>
        <w:tc>
          <w:tcPr>
            <w:tcW w:w="1027" w:type="dxa"/>
            <w:tcBorders>
              <w:top w:val="single" w:color="auto" w:sz="4" w:space="0"/>
              <w:left w:val="single" w:color="000000" w:sz="4" w:space="0"/>
              <w:bottom w:val="single" w:color="000000" w:sz="4" w:space="0"/>
            </w:tcBorders>
            <w:shd w:val="clear" w:color="auto" w:fill="auto"/>
          </w:tcPr>
          <w:p>
            <w:pPr>
              <w:pStyle w:val="ConsPlusNormal"/>
              <w:jc w:val="center"/>
            </w:pPr>
            <w:r>
              <w:t xml:space="preserve">88</w:t>
            </w:r>
          </w:p>
        </w:tc>
        <w:tc>
          <w:tcPr>
            <w:tcW w:w="1028" w:type="dxa"/>
            <w:tcBorders>
              <w:top w:val="single" w:color="auto" w:sz="4" w:space="0"/>
              <w:left w:val="single" w:color="000000" w:sz="4" w:space="0"/>
              <w:bottom w:val="single" w:color="000000" w:sz="4" w:space="0"/>
            </w:tcBorders>
            <w:shd w:val="clear" w:color="auto" w:fill="auto"/>
          </w:tcPr>
          <w:p>
            <w:pPr>
              <w:pStyle w:val="ConsPlusNormal"/>
              <w:jc w:val="center"/>
            </w:pPr>
            <w:r>
              <w:t xml:space="preserve">89</w:t>
            </w:r>
          </w:p>
        </w:tc>
        <w:tc>
          <w:tcPr>
            <w:tcW w:w="1028" w:type="dxa"/>
            <w:tcBorders>
              <w:top w:val="single" w:color="auto" w:sz="4" w:space="0"/>
              <w:left w:val="single" w:color="000000" w:sz="4" w:space="0"/>
              <w:bottom w:val="single" w:color="000000" w:sz="4" w:space="0"/>
              <w:right w:val="single" w:color="auto" w:sz="4" w:space="0"/>
            </w:tcBorders>
            <w:shd w:val="clear" w:color="auto" w:fill="auto"/>
          </w:tcPr>
          <w:p>
            <w:pPr>
              <w:pStyle w:val="ConsPlusNormal"/>
              <w:jc w:val="center"/>
            </w:pPr>
            <w:r>
              <w:t xml:space="preserve">90</w:t>
            </w:r>
          </w:p>
        </w:tc>
        <w:tc>
          <w:tcPr>
            <w:tcW w:w="1028" w:type="dxa"/>
            <w:tcBorders>
              <w:top w:val="single" w:color="auto" w:sz="4" w:space="0"/>
              <w:left w:val="single" w:color="auto" w:sz="4" w:space="0"/>
              <w:bottom w:val="single" w:color="000000" w:sz="4" w:space="0"/>
              <w:right w:val="single" w:color="000000" w:sz="4" w:space="0"/>
            </w:tcBorders>
            <w:shd w:val="clear" w:color="auto" w:fill="auto"/>
          </w:tcPr>
          <w:p>
            <w:pPr>
              <w:pStyle w:val="ConsPlusNormal"/>
              <w:jc w:val="center"/>
            </w:pPr>
            <w:r>
              <w:t xml:space="preserve">91</w:t>
            </w:r>
          </w:p>
        </w:tc>
      </w:tr>
      <w:tr>
        <w:trPr>
          <w:trHeight w:val="271"/>
        </w:trPr>
        <w:tc>
          <w:tcPr>
            <w:tcW w:w="16160" w:type="dxa"/>
            <w:gridSpan w:val="11"/>
            <w:tcBorders>
              <w:top w:val="single" w:color="000000" w:sz="4" w:space="0"/>
              <w:left w:val="single" w:color="000000" w:sz="4" w:space="0"/>
              <w:bottom w:val="single" w:color="000000" w:sz="4" w:space="0"/>
              <w:right w:val="single" w:color="000000" w:sz="4" w:space="0"/>
            </w:tcBorders>
            <w:shd w:val="clear" w:color="auto" w:fill="auto"/>
          </w:tcPr>
          <w:p>
            <w:pPr>
              <w:pStyle w:val="ConsPlusNormal"/>
            </w:pPr>
            <w:bookmarkStart w:id="5" w:name="Par2752"/>
            <w:bookmarkEnd w:id="5"/>
            <w:r>
              <w:t xml:space="preserve">Задача 1. Обеспечение учета объема потребляемых энергетических ресурсов</w:t>
            </w:r>
          </w:p>
        </w:tc>
      </w:tr>
      <w:tr>
        <w:tc>
          <w:tcPr>
            <w:tcW w:w="56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5.</w:t>
            </w:r>
          </w:p>
        </w:tc>
        <w:tc>
          <w:tcPr>
            <w:tcW w:w="5387" w:type="dxa"/>
            <w:tcBorders>
              <w:top w:val="single" w:color="000000" w:sz="4" w:space="0"/>
              <w:left w:val="single" w:color="000000" w:sz="4" w:space="0"/>
              <w:bottom w:val="single" w:color="000000" w:sz="4" w:space="0"/>
            </w:tcBorders>
            <w:shd w:val="clear" w:color="auto" w:fill="auto"/>
          </w:tcPr>
          <w:p>
            <w:pPr>
              <w:pStyle w:val="ConsPlusNormal"/>
            </w:pPr>
            <w:r>
              <w:t xml:space="preserve">Удельный расход электрической энергии на снабжение органов местного самоуправления и муниципальных учреждений (в расчете на               1 кв. м общей площади)</w:t>
            </w:r>
          </w:p>
        </w:tc>
        <w:tc>
          <w:tcPr>
            <w:tcW w:w="1984"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кВт</w:t>
            </w:r>
            <w:r>
              <w:t xml:space="preserve">.ч</w:t>
            </w:r>
            <w:r>
              <w:t xml:space="preserve">/кв. м</w:t>
            </w:r>
          </w:p>
        </w:tc>
        <w:tc>
          <w:tcPr>
            <w:tcW w:w="10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160,1</w:t>
            </w:r>
          </w:p>
        </w:tc>
        <w:tc>
          <w:tcPr>
            <w:tcW w:w="1028" w:type="dxa"/>
            <w:tcBorders>
              <w:top w:val="single" w:color="000000" w:sz="4" w:space="0"/>
              <w:left w:val="single" w:color="auto" w:sz="4" w:space="0"/>
              <w:bottom w:val="single" w:color="000000" w:sz="4" w:space="0"/>
            </w:tcBorders>
            <w:shd w:val="clear" w:color="auto" w:fill="auto"/>
          </w:tcPr>
          <w:p>
            <w:pPr>
              <w:pStyle w:val="ConsPlusNormal"/>
              <w:jc w:val="center"/>
            </w:pPr>
            <w:r>
              <w:t xml:space="preserve">159,2</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159,0</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158,1</w:t>
            </w:r>
          </w:p>
        </w:tc>
        <w:tc>
          <w:tcPr>
            <w:tcW w:w="102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157,8</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157,6</w:t>
            </w:r>
          </w:p>
        </w:tc>
        <w:tc>
          <w:tcPr>
            <w:tcW w:w="1028"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157,5</w:t>
            </w:r>
          </w:p>
        </w:tc>
        <w:tc>
          <w:tcPr>
            <w:tcW w:w="1028" w:type="dxa"/>
            <w:tcBorders>
              <w:top w:val="single" w:color="000000" w:sz="4" w:space="0"/>
              <w:left w:val="single" w:color="auto" w:sz="4" w:space="0"/>
              <w:bottom w:val="single" w:color="000000" w:sz="4" w:space="0"/>
              <w:right w:val="single" w:color="000000" w:sz="4" w:space="0"/>
            </w:tcBorders>
            <w:shd w:val="clear" w:color="auto" w:fill="auto"/>
          </w:tcPr>
          <w:p>
            <w:pPr>
              <w:pStyle w:val="ConsPlusNormal"/>
              <w:jc w:val="center"/>
            </w:pPr>
            <w:r>
              <w:t xml:space="preserve">157,4</w:t>
            </w:r>
          </w:p>
        </w:tc>
      </w:tr>
      <w:tr>
        <w:tc>
          <w:tcPr>
            <w:tcW w:w="56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6.</w:t>
            </w:r>
          </w:p>
        </w:tc>
        <w:tc>
          <w:tcPr>
            <w:tcW w:w="5387" w:type="dxa"/>
            <w:tcBorders>
              <w:top w:val="single" w:color="000000" w:sz="4" w:space="0"/>
              <w:left w:val="single" w:color="000000" w:sz="4" w:space="0"/>
              <w:bottom w:val="single" w:color="000000" w:sz="4" w:space="0"/>
            </w:tcBorders>
            <w:shd w:val="clear" w:color="auto" w:fill="auto"/>
          </w:tcPr>
          <w:p>
            <w:pPr>
              <w:pStyle w:val="ConsPlusNormal"/>
            </w:pPr>
            <w:r>
              <w:t xml:space="preserve">Удельный расход тепловой энергии на снабжение органов местного самоуправления и муниципальных учреждений (в расчете на           </w:t>
            </w:r>
            <w:r>
              <w:t xml:space="preserve">    </w:t>
            </w:r>
            <w:r>
              <w:t xml:space="preserve">1 кв. м общей площади)</w:t>
            </w:r>
          </w:p>
        </w:tc>
        <w:tc>
          <w:tcPr>
            <w:tcW w:w="1984"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Гкал/кв. м</w:t>
            </w:r>
          </w:p>
        </w:tc>
        <w:tc>
          <w:tcPr>
            <w:tcW w:w="10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0,120</w:t>
            </w:r>
          </w:p>
        </w:tc>
        <w:tc>
          <w:tcPr>
            <w:tcW w:w="1028" w:type="dxa"/>
            <w:tcBorders>
              <w:top w:val="single" w:color="000000" w:sz="4" w:space="0"/>
              <w:left w:val="single" w:color="auto" w:sz="4" w:space="0"/>
              <w:bottom w:val="single" w:color="000000" w:sz="4" w:space="0"/>
            </w:tcBorders>
            <w:shd w:val="clear" w:color="auto" w:fill="auto"/>
          </w:tcPr>
          <w:p>
            <w:pPr>
              <w:pStyle w:val="ConsPlusNormal"/>
              <w:jc w:val="center"/>
            </w:pPr>
            <w:r>
              <w:t xml:space="preserve">0,120</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0,120</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0,120</w:t>
            </w:r>
          </w:p>
        </w:tc>
        <w:tc>
          <w:tcPr>
            <w:tcW w:w="102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0,120</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0,118</w:t>
            </w:r>
          </w:p>
        </w:tc>
        <w:tc>
          <w:tcPr>
            <w:tcW w:w="1028"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0,118</w:t>
            </w:r>
          </w:p>
        </w:tc>
        <w:tc>
          <w:tcPr>
            <w:tcW w:w="1028" w:type="dxa"/>
            <w:tcBorders>
              <w:top w:val="single" w:color="000000" w:sz="4" w:space="0"/>
              <w:left w:val="single" w:color="auto" w:sz="4" w:space="0"/>
              <w:bottom w:val="single" w:color="000000" w:sz="4" w:space="0"/>
              <w:right w:val="single" w:color="000000" w:sz="4" w:space="0"/>
            </w:tcBorders>
            <w:shd w:val="clear" w:color="auto" w:fill="auto"/>
          </w:tcPr>
          <w:p>
            <w:pPr>
              <w:pStyle w:val="ConsPlusNormal"/>
              <w:jc w:val="center"/>
            </w:pPr>
            <w:r>
              <w:t xml:space="preserve">0,118</w:t>
            </w:r>
          </w:p>
        </w:tc>
      </w:tr>
      <w:tr>
        <w:trPr>
          <w:trHeight w:val="1110"/>
        </w:trPr>
        <w:tc>
          <w:tcPr>
            <w:tcW w:w="567" w:type="dxa"/>
            <w:tcBorders>
              <w:top w:val="single" w:color="auto" w:sz="4" w:space="0"/>
              <w:left w:val="single" w:color="000000" w:sz="4" w:space="0"/>
              <w:bottom w:val="single" w:color="000000" w:sz="4" w:space="0"/>
            </w:tcBorders>
            <w:shd w:val="clear" w:color="auto" w:fill="auto"/>
          </w:tcPr>
          <w:p>
            <w:pPr>
              <w:pStyle w:val="ConsPlusNormal"/>
              <w:jc w:val="center"/>
            </w:pPr>
            <w:r>
              <w:t xml:space="preserve">7.</w:t>
            </w:r>
          </w:p>
        </w:tc>
        <w:tc>
          <w:tcPr>
            <w:tcW w:w="5387" w:type="dxa"/>
            <w:tcBorders>
              <w:top w:val="single" w:color="auto" w:sz="4" w:space="0"/>
              <w:left w:val="single" w:color="000000" w:sz="4" w:space="0"/>
              <w:bottom w:val="single" w:color="000000" w:sz="4" w:space="0"/>
            </w:tcBorders>
            <w:shd w:val="clear" w:color="auto" w:fill="auto"/>
          </w:tcPr>
          <w:p>
            <w:pPr>
              <w:pStyle w:val="ConsPlusNormal"/>
            </w:pPr>
            <w:r>
              <w:t xml:space="preserve">Удельный расход холодной воды на снабжение органов местного самоуправления и муниципальных учреждений (в расчете на               1 человека)</w:t>
            </w:r>
          </w:p>
        </w:tc>
        <w:tc>
          <w:tcPr>
            <w:tcW w:w="1984" w:type="dxa"/>
            <w:tcBorders>
              <w:top w:val="single" w:color="auto" w:sz="4" w:space="0"/>
              <w:left w:val="single" w:color="000000" w:sz="4" w:space="0"/>
              <w:bottom w:val="single" w:color="000000" w:sz="4" w:space="0"/>
            </w:tcBorders>
            <w:shd w:val="clear" w:color="auto" w:fill="auto"/>
          </w:tcPr>
          <w:p>
            <w:pPr>
              <w:pStyle w:val="ConsPlusNormal"/>
              <w:jc w:val="center"/>
            </w:pPr>
            <w:r>
              <w:t xml:space="preserve">куб. м/чел.</w:t>
            </w:r>
          </w:p>
        </w:tc>
        <w:tc>
          <w:tcPr>
            <w:tcW w:w="1027" w:type="dxa"/>
            <w:tcBorders>
              <w:top w:val="single" w:color="auto" w:sz="4" w:space="0"/>
              <w:left w:val="single" w:color="000000" w:sz="4" w:space="0"/>
              <w:bottom w:val="single" w:color="000000" w:sz="4" w:space="0"/>
              <w:right w:val="single" w:color="auto" w:sz="4" w:space="0"/>
            </w:tcBorders>
            <w:shd w:val="clear" w:color="auto" w:fill="auto"/>
          </w:tcPr>
          <w:p>
            <w:pPr>
              <w:pStyle w:val="ConsPlusNormal"/>
              <w:jc w:val="center"/>
            </w:pPr>
          </w:p>
          <w:p>
            <w:pPr>
              <w:pStyle w:val="ConsPlusNormal"/>
              <w:jc w:val="center"/>
            </w:pPr>
            <w:r>
              <w:t xml:space="preserve">1,22</w:t>
            </w:r>
          </w:p>
        </w:tc>
        <w:tc>
          <w:tcPr>
            <w:tcW w:w="1028" w:type="dxa"/>
            <w:tcBorders>
              <w:top w:val="single" w:color="auto" w:sz="4" w:space="0"/>
              <w:left w:val="single" w:color="auto" w:sz="4" w:space="0"/>
              <w:bottom w:val="single" w:color="000000" w:sz="4" w:space="0"/>
            </w:tcBorders>
            <w:shd w:val="clear" w:color="auto" w:fill="auto"/>
          </w:tcPr>
          <w:p>
            <w:pPr>
              <w:pStyle w:val="ConsPlusNormal"/>
              <w:jc w:val="center"/>
            </w:pPr>
          </w:p>
          <w:p>
            <w:pPr>
              <w:pStyle w:val="ConsPlusNormal"/>
              <w:jc w:val="center"/>
            </w:pPr>
            <w:r>
              <w:t xml:space="preserve">1,22</w:t>
            </w:r>
          </w:p>
        </w:tc>
        <w:tc>
          <w:tcPr>
            <w:tcW w:w="1028" w:type="dxa"/>
            <w:tcBorders>
              <w:top w:val="single" w:color="auto" w:sz="4" w:space="0"/>
              <w:left w:val="single" w:color="000000" w:sz="4" w:space="0"/>
              <w:bottom w:val="single" w:color="000000" w:sz="4" w:space="0"/>
            </w:tcBorders>
            <w:shd w:val="clear" w:color="auto" w:fill="auto"/>
          </w:tcPr>
          <w:p>
            <w:pPr>
              <w:pStyle w:val="ConsPlusNormal"/>
              <w:jc w:val="center"/>
            </w:pPr>
          </w:p>
          <w:p>
            <w:pPr>
              <w:pStyle w:val="ConsPlusNormal"/>
              <w:jc w:val="center"/>
            </w:pPr>
            <w:r>
              <w:t xml:space="preserve">1,22</w:t>
            </w:r>
          </w:p>
        </w:tc>
        <w:tc>
          <w:tcPr>
            <w:tcW w:w="1028" w:type="dxa"/>
            <w:tcBorders>
              <w:top w:val="single" w:color="auto" w:sz="4" w:space="0"/>
              <w:left w:val="single" w:color="000000" w:sz="4" w:space="0"/>
              <w:bottom w:val="single" w:color="000000" w:sz="4" w:space="0"/>
            </w:tcBorders>
            <w:shd w:val="clear" w:color="auto" w:fill="auto"/>
          </w:tcPr>
          <w:p>
            <w:pPr>
              <w:pStyle w:val="ConsPlusNormal"/>
              <w:jc w:val="center"/>
            </w:pPr>
          </w:p>
          <w:p>
            <w:pPr>
              <w:pStyle w:val="ConsPlusNormal"/>
              <w:jc w:val="center"/>
            </w:pPr>
            <w:r>
              <w:t xml:space="preserve">1,22</w:t>
            </w:r>
          </w:p>
        </w:tc>
        <w:tc>
          <w:tcPr>
            <w:tcW w:w="1027" w:type="dxa"/>
            <w:tcBorders>
              <w:top w:val="single" w:color="auto" w:sz="4" w:space="0"/>
              <w:left w:val="single" w:color="000000" w:sz="4" w:space="0"/>
              <w:bottom w:val="single" w:color="000000" w:sz="4" w:space="0"/>
            </w:tcBorders>
            <w:shd w:val="clear" w:color="auto" w:fill="auto"/>
          </w:tcPr>
          <w:p>
            <w:pPr>
              <w:pStyle w:val="ConsPlusNormal"/>
              <w:jc w:val="center"/>
            </w:pPr>
          </w:p>
          <w:p>
            <w:pPr>
              <w:pStyle w:val="ConsPlusNormal"/>
              <w:jc w:val="center"/>
            </w:pPr>
            <w:r>
              <w:t xml:space="preserve">1,21</w:t>
            </w:r>
          </w:p>
        </w:tc>
        <w:tc>
          <w:tcPr>
            <w:tcW w:w="1028" w:type="dxa"/>
            <w:tcBorders>
              <w:top w:val="single" w:color="auto" w:sz="4" w:space="0"/>
              <w:left w:val="single" w:color="000000" w:sz="4" w:space="0"/>
              <w:bottom w:val="single" w:color="000000" w:sz="4" w:space="0"/>
            </w:tcBorders>
            <w:shd w:val="clear" w:color="auto" w:fill="auto"/>
          </w:tcPr>
          <w:p>
            <w:pPr>
              <w:pStyle w:val="ConsPlusNormal"/>
              <w:jc w:val="center"/>
            </w:pPr>
          </w:p>
          <w:p>
            <w:pPr>
              <w:pStyle w:val="ConsPlusNormal"/>
              <w:jc w:val="center"/>
            </w:pPr>
            <w:r>
              <w:t xml:space="preserve">1,20</w:t>
            </w:r>
          </w:p>
        </w:tc>
        <w:tc>
          <w:tcPr>
            <w:tcW w:w="1028" w:type="dxa"/>
            <w:tcBorders>
              <w:top w:val="single" w:color="auto" w:sz="4" w:space="0"/>
              <w:left w:val="single" w:color="000000" w:sz="4" w:space="0"/>
              <w:bottom w:val="single" w:color="000000" w:sz="4" w:space="0"/>
              <w:right w:val="single" w:color="auto" w:sz="4" w:space="0"/>
            </w:tcBorders>
            <w:shd w:val="clear" w:color="auto" w:fill="auto"/>
          </w:tcPr>
          <w:p>
            <w:pPr>
              <w:pStyle w:val="ConsPlusNormal"/>
              <w:jc w:val="center"/>
            </w:pPr>
          </w:p>
          <w:p>
            <w:pPr>
              <w:pStyle w:val="ConsPlusNormal"/>
              <w:jc w:val="center"/>
            </w:pPr>
            <w:r>
              <w:t xml:space="preserve">1,20</w:t>
            </w:r>
          </w:p>
        </w:tc>
        <w:tc>
          <w:tcPr>
            <w:tcW w:w="1028" w:type="dxa"/>
            <w:tcBorders>
              <w:top w:val="single" w:color="auto" w:sz="4" w:space="0"/>
              <w:left w:val="single" w:color="auto" w:sz="4" w:space="0"/>
              <w:bottom w:val="single" w:color="000000" w:sz="4" w:space="0"/>
              <w:right w:val="single" w:color="000000" w:sz="4" w:space="0"/>
            </w:tcBorders>
            <w:shd w:val="clear" w:color="auto" w:fill="auto"/>
          </w:tcPr>
          <w:p>
            <w:pPr>
              <w:pStyle w:val="ConsPlusNormal"/>
              <w:jc w:val="center"/>
            </w:pPr>
          </w:p>
          <w:p>
            <w:pPr>
              <w:pStyle w:val="ConsPlusNormal"/>
              <w:jc w:val="center"/>
            </w:pPr>
            <w:r>
              <w:t xml:space="preserve">1,19</w:t>
            </w:r>
          </w:p>
        </w:tc>
      </w:tr>
      <w:tr>
        <w:tc>
          <w:tcPr>
            <w:tcW w:w="56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8.</w:t>
            </w:r>
          </w:p>
        </w:tc>
        <w:tc>
          <w:tcPr>
            <w:tcW w:w="5387" w:type="dxa"/>
            <w:tcBorders>
              <w:top w:val="single" w:color="000000" w:sz="4" w:space="0"/>
              <w:left w:val="single" w:color="000000" w:sz="4" w:space="0"/>
              <w:bottom w:val="single" w:color="000000" w:sz="4" w:space="0"/>
            </w:tcBorders>
            <w:shd w:val="clear" w:color="auto" w:fill="auto"/>
          </w:tcPr>
          <w:p>
            <w:pPr>
              <w:pStyle w:val="ConsPlusNormal"/>
            </w:pPr>
            <w:r>
              <w:t xml:space="preserve">Удельный расход природного газа на снабжение органов местного самоуправления и муниципальных учреждений (в расчете на           </w:t>
            </w:r>
            <w:r>
              <w:t xml:space="preserve">    </w:t>
            </w:r>
            <w:r>
              <w:t xml:space="preserve">1 человека)</w:t>
            </w:r>
          </w:p>
        </w:tc>
        <w:tc>
          <w:tcPr>
            <w:tcW w:w="1984"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куб. м/чел.</w:t>
            </w:r>
          </w:p>
        </w:tc>
        <w:tc>
          <w:tcPr>
            <w:tcW w:w="10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0,82</w:t>
            </w:r>
          </w:p>
        </w:tc>
        <w:tc>
          <w:tcPr>
            <w:tcW w:w="1028" w:type="dxa"/>
            <w:tcBorders>
              <w:top w:val="single" w:color="000000" w:sz="4" w:space="0"/>
              <w:left w:val="single" w:color="auto" w:sz="4" w:space="0"/>
              <w:bottom w:val="single" w:color="000000" w:sz="4" w:space="0"/>
            </w:tcBorders>
            <w:shd w:val="clear" w:color="auto" w:fill="auto"/>
          </w:tcPr>
          <w:p>
            <w:pPr>
              <w:pStyle w:val="ConsPlusNormal"/>
              <w:jc w:val="center"/>
            </w:pPr>
            <w:r>
              <w:t xml:space="preserve">0,82</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0,82</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0,82</w:t>
            </w:r>
          </w:p>
        </w:tc>
        <w:tc>
          <w:tcPr>
            <w:tcW w:w="102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0,81</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0,81</w:t>
            </w:r>
          </w:p>
        </w:tc>
        <w:tc>
          <w:tcPr>
            <w:tcW w:w="1028"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0,80</w:t>
            </w:r>
          </w:p>
        </w:tc>
        <w:tc>
          <w:tcPr>
            <w:tcW w:w="1028" w:type="dxa"/>
            <w:tcBorders>
              <w:top w:val="single" w:color="000000" w:sz="4" w:space="0"/>
              <w:left w:val="single" w:color="auto" w:sz="4" w:space="0"/>
              <w:bottom w:val="single" w:color="000000" w:sz="4" w:space="0"/>
              <w:right w:val="single" w:color="000000" w:sz="4" w:space="0"/>
            </w:tcBorders>
            <w:shd w:val="clear" w:color="auto" w:fill="auto"/>
          </w:tcPr>
          <w:p>
            <w:pPr>
              <w:pStyle w:val="ConsPlusNormal"/>
              <w:jc w:val="center"/>
            </w:pPr>
            <w:r>
              <w:t xml:space="preserve">0,80</w:t>
            </w:r>
          </w:p>
        </w:tc>
      </w:tr>
      <w:tr>
        <w:tc>
          <w:tcPr>
            <w:tcW w:w="16160" w:type="dxa"/>
            <w:gridSpan w:val="11"/>
            <w:tcBorders>
              <w:top w:val="single" w:color="000000" w:sz="4" w:space="0"/>
              <w:left w:val="single" w:color="000000" w:sz="4" w:space="0"/>
              <w:bottom w:val="single" w:color="000000" w:sz="4" w:space="0"/>
              <w:right w:val="single" w:color="000000" w:sz="4" w:space="0"/>
            </w:tcBorders>
            <w:shd w:val="clear" w:color="auto" w:fill="auto"/>
          </w:tcPr>
          <w:p>
            <w:pPr>
              <w:pStyle w:val="ConsPlusNormal"/>
            </w:pPr>
            <w:bookmarkStart w:id="6" w:name="Par2798"/>
            <w:bookmarkEnd w:id="6"/>
            <w:r>
              <w:t xml:space="preserve">Задача 2. Снижение расходов бюджета города Ставрополя на оплату за потребленные энергетические ресурсы</w:t>
            </w:r>
          </w:p>
        </w:tc>
      </w:tr>
      <w:tr>
        <w:trPr>
          <w:trHeight w:val="1319"/>
        </w:trPr>
        <w:tc>
          <w:tcPr>
            <w:tcW w:w="56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9.</w:t>
            </w:r>
          </w:p>
        </w:tc>
        <w:tc>
          <w:tcPr>
            <w:tcW w:w="5387" w:type="dxa"/>
            <w:tcBorders>
              <w:top w:val="single" w:color="000000" w:sz="4" w:space="0"/>
              <w:left w:val="single" w:color="000000" w:sz="4" w:space="0"/>
              <w:bottom w:val="single" w:color="000000" w:sz="4" w:space="0"/>
            </w:tcBorders>
            <w:shd w:val="clear" w:color="auto" w:fill="auto"/>
          </w:tcPr>
          <w:p>
            <w:pPr>
              <w:pStyle w:val="ConsPlusNormal"/>
            </w:pPr>
            <w:r>
              <w:t xml:space="preserve">Удельный расход тепловой энергии в многоквартирных домах (в расчете на 1 кв. м общей площади)</w:t>
            </w:r>
          </w:p>
        </w:tc>
        <w:tc>
          <w:tcPr>
            <w:tcW w:w="1984"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Гкал/кв. м</w:t>
            </w:r>
          </w:p>
        </w:tc>
        <w:tc>
          <w:tcPr>
            <w:tcW w:w="10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0,074</w:t>
            </w:r>
          </w:p>
        </w:tc>
        <w:tc>
          <w:tcPr>
            <w:tcW w:w="1028" w:type="dxa"/>
            <w:tcBorders>
              <w:top w:val="single" w:color="000000" w:sz="4" w:space="0"/>
              <w:left w:val="single" w:color="auto" w:sz="4" w:space="0"/>
              <w:bottom w:val="single" w:color="000000" w:sz="4" w:space="0"/>
            </w:tcBorders>
            <w:shd w:val="clear" w:color="auto" w:fill="auto"/>
          </w:tcPr>
          <w:p>
            <w:pPr>
              <w:pStyle w:val="ConsPlusNormal"/>
              <w:jc w:val="center"/>
            </w:pPr>
            <w:r>
              <w:t xml:space="preserve">0,072</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0,071</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0,070</w:t>
            </w:r>
          </w:p>
        </w:tc>
        <w:tc>
          <w:tcPr>
            <w:tcW w:w="102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0,070</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0,069</w:t>
            </w:r>
          </w:p>
        </w:tc>
        <w:tc>
          <w:tcPr>
            <w:tcW w:w="1028"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0,068</w:t>
            </w:r>
          </w:p>
        </w:tc>
        <w:tc>
          <w:tcPr>
            <w:tcW w:w="1028" w:type="dxa"/>
            <w:tcBorders>
              <w:top w:val="single" w:color="000000" w:sz="4" w:space="0"/>
              <w:left w:val="single" w:color="auto" w:sz="4" w:space="0"/>
              <w:bottom w:val="single" w:color="000000" w:sz="4" w:space="0"/>
              <w:right w:val="single" w:color="000000" w:sz="4" w:space="0"/>
            </w:tcBorders>
            <w:shd w:val="clear" w:color="auto" w:fill="auto"/>
          </w:tcPr>
          <w:p>
            <w:pPr>
              <w:pStyle w:val="ConsPlusNormal"/>
              <w:jc w:val="center"/>
            </w:pPr>
            <w:r>
              <w:t xml:space="preserve">0,067</w:t>
            </w:r>
          </w:p>
        </w:tc>
      </w:tr>
      <w:tr>
        <w:trPr>
          <w:trHeight w:val="135"/>
        </w:trPr>
        <w:tc>
          <w:tcPr>
            <w:tcW w:w="567" w:type="dxa"/>
            <w:tcBorders>
              <w:top w:val="single" w:color="000000" w:sz="4" w:space="0"/>
              <w:left w:val="single" w:color="000000" w:sz="4" w:space="0"/>
              <w:bottom w:val="single" w:color="auto" w:sz="4" w:space="0"/>
            </w:tcBorders>
            <w:shd w:val="clear" w:color="auto" w:fill="auto"/>
          </w:tcPr>
          <w:p>
            <w:pPr>
              <w:pStyle w:val="ConsPlusNormal"/>
              <w:jc w:val="center"/>
            </w:pPr>
            <w:r>
              <w:t xml:space="preserve">1</w:t>
            </w:r>
          </w:p>
        </w:tc>
        <w:tc>
          <w:tcPr>
            <w:tcW w:w="5387" w:type="dxa"/>
            <w:tcBorders>
              <w:top w:val="single" w:color="000000" w:sz="4" w:space="0"/>
              <w:left w:val="single" w:color="000000" w:sz="4" w:space="0"/>
              <w:bottom w:val="single" w:color="auto" w:sz="4" w:space="0"/>
            </w:tcBorders>
            <w:shd w:val="clear" w:color="auto" w:fill="auto"/>
          </w:tcPr>
          <w:p>
            <w:pPr>
              <w:pStyle w:val="ConsPlusNormal"/>
              <w:jc w:val="center"/>
            </w:pPr>
            <w:r>
              <w:t xml:space="preserve">2</w:t>
            </w:r>
          </w:p>
        </w:tc>
        <w:tc>
          <w:tcPr>
            <w:tcW w:w="1984" w:type="dxa"/>
            <w:tcBorders>
              <w:top w:val="single" w:color="000000" w:sz="4" w:space="0"/>
              <w:left w:val="single" w:color="000000" w:sz="4" w:space="0"/>
              <w:bottom w:val="single" w:color="auto" w:sz="4" w:space="0"/>
            </w:tcBorders>
            <w:shd w:val="clear" w:color="auto" w:fill="auto"/>
          </w:tcPr>
          <w:p>
            <w:pPr>
              <w:pStyle w:val="ConsPlusNormal"/>
              <w:jc w:val="center"/>
            </w:pPr>
            <w:r>
              <w:t xml:space="preserve">3</w:t>
            </w:r>
          </w:p>
        </w:tc>
        <w:tc>
          <w:tcPr>
            <w:tcW w:w="1027" w:type="dxa"/>
            <w:tcBorders>
              <w:top w:val="single" w:color="000000" w:sz="4" w:space="0"/>
              <w:left w:val="single" w:color="000000" w:sz="4" w:space="0"/>
              <w:bottom w:val="single" w:color="auto" w:sz="4" w:space="0"/>
              <w:right w:val="single" w:color="auto" w:sz="4" w:space="0"/>
            </w:tcBorders>
            <w:shd w:val="clear" w:color="auto" w:fill="auto"/>
          </w:tcPr>
          <w:p>
            <w:pPr>
              <w:pStyle w:val="ConsPlusNormal"/>
              <w:jc w:val="center"/>
            </w:pPr>
            <w:r>
              <w:t xml:space="preserve">4</w:t>
            </w:r>
          </w:p>
        </w:tc>
        <w:tc>
          <w:tcPr>
            <w:tcW w:w="1028" w:type="dxa"/>
            <w:tcBorders>
              <w:top w:val="single" w:color="000000" w:sz="4" w:space="0"/>
              <w:left w:val="single" w:color="auto" w:sz="4" w:space="0"/>
              <w:bottom w:val="single" w:color="auto" w:sz="4" w:space="0"/>
            </w:tcBorders>
            <w:shd w:val="clear" w:color="auto" w:fill="auto"/>
          </w:tcPr>
          <w:p>
            <w:pPr>
              <w:pStyle w:val="ConsPlusNormal"/>
              <w:jc w:val="center"/>
            </w:pPr>
            <w:r>
              <w:t xml:space="preserve">5</w:t>
            </w:r>
          </w:p>
        </w:tc>
        <w:tc>
          <w:tcPr>
            <w:tcW w:w="1028" w:type="dxa"/>
            <w:tcBorders>
              <w:top w:val="single" w:color="000000" w:sz="4" w:space="0"/>
              <w:left w:val="single" w:color="000000" w:sz="4" w:space="0"/>
              <w:bottom w:val="single" w:color="auto" w:sz="4" w:space="0"/>
            </w:tcBorders>
            <w:shd w:val="clear" w:color="auto" w:fill="auto"/>
          </w:tcPr>
          <w:p>
            <w:pPr>
              <w:pStyle w:val="ConsPlusNormal"/>
              <w:jc w:val="center"/>
            </w:pPr>
            <w:r>
              <w:t xml:space="preserve">6</w:t>
            </w:r>
          </w:p>
        </w:tc>
        <w:tc>
          <w:tcPr>
            <w:tcW w:w="1028" w:type="dxa"/>
            <w:tcBorders>
              <w:top w:val="single" w:color="000000" w:sz="4" w:space="0"/>
              <w:left w:val="single" w:color="000000" w:sz="4" w:space="0"/>
              <w:bottom w:val="single" w:color="auto" w:sz="4" w:space="0"/>
            </w:tcBorders>
            <w:shd w:val="clear" w:color="auto" w:fill="auto"/>
          </w:tcPr>
          <w:p>
            <w:pPr>
              <w:pStyle w:val="ConsPlusNormal"/>
              <w:jc w:val="center"/>
            </w:pPr>
            <w:r>
              <w:t xml:space="preserve">7</w:t>
            </w:r>
          </w:p>
        </w:tc>
        <w:tc>
          <w:tcPr>
            <w:tcW w:w="1027" w:type="dxa"/>
            <w:tcBorders>
              <w:top w:val="single" w:color="000000" w:sz="4" w:space="0"/>
              <w:left w:val="single" w:color="000000" w:sz="4" w:space="0"/>
              <w:bottom w:val="single" w:color="auto" w:sz="4" w:space="0"/>
            </w:tcBorders>
            <w:shd w:val="clear" w:color="auto" w:fill="auto"/>
          </w:tcPr>
          <w:p>
            <w:pPr>
              <w:pStyle w:val="ConsPlusNormal"/>
              <w:jc w:val="center"/>
            </w:pPr>
            <w:r>
              <w:t xml:space="preserve">8</w:t>
            </w:r>
          </w:p>
        </w:tc>
        <w:tc>
          <w:tcPr>
            <w:tcW w:w="1028" w:type="dxa"/>
            <w:tcBorders>
              <w:top w:val="single" w:color="000000" w:sz="4" w:space="0"/>
              <w:left w:val="single" w:color="000000" w:sz="4" w:space="0"/>
              <w:bottom w:val="single" w:color="auto" w:sz="4" w:space="0"/>
            </w:tcBorders>
            <w:shd w:val="clear" w:color="auto" w:fill="auto"/>
          </w:tcPr>
          <w:p>
            <w:pPr>
              <w:pStyle w:val="ConsPlusNormal"/>
              <w:jc w:val="center"/>
            </w:pPr>
            <w:r>
              <w:t xml:space="preserve">9</w:t>
            </w:r>
          </w:p>
        </w:tc>
        <w:tc>
          <w:tcPr>
            <w:tcW w:w="1028" w:type="dxa"/>
            <w:tcBorders>
              <w:top w:val="single" w:color="000000" w:sz="4" w:space="0"/>
              <w:left w:val="single" w:color="000000" w:sz="4" w:space="0"/>
              <w:bottom w:val="single" w:color="auto" w:sz="4" w:space="0"/>
              <w:right w:val="single" w:color="auto" w:sz="4" w:space="0"/>
            </w:tcBorders>
            <w:shd w:val="clear" w:color="auto" w:fill="auto"/>
          </w:tcPr>
          <w:p>
            <w:pPr>
              <w:pStyle w:val="ConsPlusNormal"/>
              <w:jc w:val="center"/>
            </w:pPr>
            <w:r>
              <w:t xml:space="preserve">10</w:t>
            </w:r>
          </w:p>
        </w:tc>
        <w:tc>
          <w:tcPr>
            <w:tcW w:w="1028" w:type="dxa"/>
            <w:tcBorders>
              <w:top w:val="single" w:color="000000" w:sz="4" w:space="0"/>
              <w:left w:val="single" w:color="auto" w:sz="4" w:space="0"/>
              <w:bottom w:val="single" w:color="auto" w:sz="4" w:space="0"/>
              <w:right w:val="single" w:color="000000" w:sz="4" w:space="0"/>
            </w:tcBorders>
            <w:shd w:val="clear" w:color="auto" w:fill="auto"/>
          </w:tcPr>
          <w:p>
            <w:pPr>
              <w:pStyle w:val="ConsPlusNormal"/>
              <w:jc w:val="center"/>
            </w:pPr>
            <w:r>
              <w:t xml:space="preserve">11</w:t>
            </w:r>
          </w:p>
        </w:tc>
      </w:tr>
      <w:tr>
        <w:trPr>
          <w:trHeight w:val="690"/>
        </w:trPr>
        <w:tc>
          <w:tcPr>
            <w:tcW w:w="567" w:type="dxa"/>
            <w:tcBorders>
              <w:top w:val="single" w:color="auto" w:sz="4" w:space="0"/>
              <w:left w:val="single" w:color="000000" w:sz="4" w:space="0"/>
              <w:bottom w:val="single" w:color="000000" w:sz="4" w:space="0"/>
            </w:tcBorders>
            <w:shd w:val="clear" w:color="auto" w:fill="auto"/>
          </w:tcPr>
          <w:p>
            <w:pPr>
              <w:pStyle w:val="ConsPlusNormal"/>
              <w:jc w:val="center"/>
            </w:pPr>
            <w:r>
              <w:t xml:space="preserve">10.</w:t>
            </w:r>
          </w:p>
        </w:tc>
        <w:tc>
          <w:tcPr>
            <w:tcW w:w="5387" w:type="dxa"/>
            <w:tcBorders>
              <w:top w:val="single" w:color="auto" w:sz="4" w:space="0"/>
              <w:left w:val="single" w:color="000000" w:sz="4" w:space="0"/>
              <w:bottom w:val="single" w:color="000000" w:sz="4" w:space="0"/>
            </w:tcBorders>
            <w:shd w:val="clear" w:color="auto" w:fill="auto"/>
          </w:tcPr>
          <w:p>
            <w:pPr>
              <w:pStyle w:val="ConsPlusNormal"/>
            </w:pPr>
            <w:r>
              <w:t xml:space="preserve">Удельный расход холодной воды в многоквартирных домах (в расчете на                    </w:t>
            </w:r>
            <w:r>
              <w:t xml:space="preserve">   </w:t>
            </w:r>
            <w:r>
              <w:t xml:space="preserve">1 жителя)</w:t>
            </w:r>
          </w:p>
        </w:tc>
        <w:tc>
          <w:tcPr>
            <w:tcW w:w="1984" w:type="dxa"/>
            <w:tcBorders>
              <w:top w:val="single" w:color="auto" w:sz="4" w:space="0"/>
              <w:left w:val="single" w:color="000000" w:sz="4" w:space="0"/>
              <w:bottom w:val="single" w:color="000000" w:sz="4" w:space="0"/>
            </w:tcBorders>
            <w:shd w:val="clear" w:color="auto" w:fill="auto"/>
          </w:tcPr>
          <w:p>
            <w:pPr>
              <w:pStyle w:val="ConsPlusNormal"/>
              <w:jc w:val="center"/>
            </w:pPr>
            <w:r>
              <w:t xml:space="preserve">куб. м/чел.</w:t>
            </w:r>
          </w:p>
        </w:tc>
        <w:tc>
          <w:tcPr>
            <w:tcW w:w="1027" w:type="dxa"/>
            <w:tcBorders>
              <w:top w:val="single" w:color="auto" w:sz="4" w:space="0"/>
              <w:left w:val="single" w:color="000000" w:sz="4" w:space="0"/>
              <w:bottom w:val="single" w:color="000000" w:sz="4" w:space="0"/>
              <w:right w:val="single" w:color="auto" w:sz="4" w:space="0"/>
            </w:tcBorders>
            <w:shd w:val="clear" w:color="auto" w:fill="auto"/>
          </w:tcPr>
          <w:p>
            <w:pPr>
              <w:pStyle w:val="ConsPlusNormal"/>
              <w:jc w:val="center"/>
            </w:pPr>
            <w:r>
              <w:t xml:space="preserve">56,9</w:t>
            </w:r>
          </w:p>
        </w:tc>
        <w:tc>
          <w:tcPr>
            <w:tcW w:w="1028" w:type="dxa"/>
            <w:tcBorders>
              <w:top w:val="single" w:color="auto" w:sz="4" w:space="0"/>
              <w:left w:val="single" w:color="auto" w:sz="4" w:space="0"/>
              <w:bottom w:val="single" w:color="000000" w:sz="4" w:space="0"/>
            </w:tcBorders>
            <w:shd w:val="clear" w:color="auto" w:fill="auto"/>
          </w:tcPr>
          <w:p>
            <w:pPr>
              <w:pStyle w:val="ConsPlusNormal"/>
              <w:jc w:val="center"/>
            </w:pPr>
            <w:r>
              <w:t xml:space="preserve">56,8</w:t>
            </w:r>
          </w:p>
        </w:tc>
        <w:tc>
          <w:tcPr>
            <w:tcW w:w="1028" w:type="dxa"/>
            <w:tcBorders>
              <w:top w:val="single" w:color="auto" w:sz="4" w:space="0"/>
              <w:left w:val="single" w:color="000000" w:sz="4" w:space="0"/>
              <w:bottom w:val="single" w:color="000000" w:sz="4" w:space="0"/>
            </w:tcBorders>
            <w:shd w:val="clear" w:color="auto" w:fill="auto"/>
          </w:tcPr>
          <w:p>
            <w:pPr>
              <w:pStyle w:val="ConsPlusNormal"/>
              <w:jc w:val="center"/>
            </w:pPr>
            <w:r>
              <w:t xml:space="preserve">56,7</w:t>
            </w:r>
          </w:p>
        </w:tc>
        <w:tc>
          <w:tcPr>
            <w:tcW w:w="1028" w:type="dxa"/>
            <w:tcBorders>
              <w:top w:val="single" w:color="auto" w:sz="4" w:space="0"/>
              <w:left w:val="single" w:color="000000" w:sz="4" w:space="0"/>
              <w:bottom w:val="single" w:color="000000" w:sz="4" w:space="0"/>
            </w:tcBorders>
            <w:shd w:val="clear" w:color="auto" w:fill="auto"/>
          </w:tcPr>
          <w:p>
            <w:pPr>
              <w:pStyle w:val="ConsPlusNormal"/>
              <w:jc w:val="center"/>
            </w:pPr>
            <w:r>
              <w:t xml:space="preserve">56,7</w:t>
            </w:r>
          </w:p>
        </w:tc>
        <w:tc>
          <w:tcPr>
            <w:tcW w:w="1027" w:type="dxa"/>
            <w:tcBorders>
              <w:top w:val="single" w:color="auto" w:sz="4" w:space="0"/>
              <w:left w:val="single" w:color="000000" w:sz="4" w:space="0"/>
              <w:bottom w:val="single" w:color="000000" w:sz="4" w:space="0"/>
            </w:tcBorders>
            <w:shd w:val="clear" w:color="auto" w:fill="auto"/>
          </w:tcPr>
          <w:p>
            <w:pPr>
              <w:pStyle w:val="ConsPlusNormal"/>
              <w:jc w:val="center"/>
            </w:pPr>
            <w:r>
              <w:t xml:space="preserve">56,7</w:t>
            </w:r>
          </w:p>
        </w:tc>
        <w:tc>
          <w:tcPr>
            <w:tcW w:w="1028" w:type="dxa"/>
            <w:tcBorders>
              <w:top w:val="single" w:color="auto" w:sz="4" w:space="0"/>
              <w:left w:val="single" w:color="000000" w:sz="4" w:space="0"/>
              <w:bottom w:val="single" w:color="000000" w:sz="4" w:space="0"/>
            </w:tcBorders>
            <w:shd w:val="clear" w:color="auto" w:fill="auto"/>
          </w:tcPr>
          <w:p>
            <w:pPr>
              <w:pStyle w:val="ConsPlusNormal"/>
              <w:jc w:val="center"/>
            </w:pPr>
            <w:r>
              <w:t xml:space="preserve">56,6</w:t>
            </w:r>
          </w:p>
        </w:tc>
        <w:tc>
          <w:tcPr>
            <w:tcW w:w="1028" w:type="dxa"/>
            <w:tcBorders>
              <w:top w:val="single" w:color="auto" w:sz="4" w:space="0"/>
              <w:left w:val="single" w:color="000000" w:sz="4" w:space="0"/>
              <w:bottom w:val="single" w:color="000000" w:sz="4" w:space="0"/>
              <w:right w:val="single" w:color="auto" w:sz="4" w:space="0"/>
            </w:tcBorders>
            <w:shd w:val="clear" w:color="auto" w:fill="auto"/>
          </w:tcPr>
          <w:p>
            <w:pPr>
              <w:pStyle w:val="ConsPlusNormal"/>
              <w:jc w:val="center"/>
            </w:pPr>
            <w:r>
              <w:t xml:space="preserve">56,5</w:t>
            </w:r>
          </w:p>
        </w:tc>
        <w:tc>
          <w:tcPr>
            <w:tcW w:w="1028" w:type="dxa"/>
            <w:tcBorders>
              <w:top w:val="single" w:color="auto" w:sz="4" w:space="0"/>
              <w:left w:val="single" w:color="auto" w:sz="4" w:space="0"/>
              <w:bottom w:val="single" w:color="000000" w:sz="4" w:space="0"/>
              <w:right w:val="single" w:color="000000" w:sz="4" w:space="0"/>
            </w:tcBorders>
            <w:shd w:val="clear" w:color="auto" w:fill="auto"/>
          </w:tcPr>
          <w:p>
            <w:pPr>
              <w:pStyle w:val="ConsPlusNormal"/>
              <w:jc w:val="center"/>
            </w:pPr>
            <w:r>
              <w:t xml:space="preserve">56,5</w:t>
            </w:r>
          </w:p>
        </w:tc>
      </w:tr>
      <w:tr>
        <w:tc>
          <w:tcPr>
            <w:tcW w:w="56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11.</w:t>
            </w:r>
          </w:p>
        </w:tc>
        <w:tc>
          <w:tcPr>
            <w:tcW w:w="5387" w:type="dxa"/>
            <w:tcBorders>
              <w:top w:val="single" w:color="000000" w:sz="4" w:space="0"/>
              <w:left w:val="single" w:color="000000" w:sz="4" w:space="0"/>
              <w:bottom w:val="single" w:color="000000" w:sz="4" w:space="0"/>
            </w:tcBorders>
            <w:shd w:val="clear" w:color="auto" w:fill="auto"/>
          </w:tcPr>
          <w:p>
            <w:pPr>
              <w:pStyle w:val="ConsPlusNormal"/>
            </w:pPr>
            <w:r>
              <w:t xml:space="preserve">Удельный расход электрической энергии в многоквартирных д</w:t>
            </w:r>
            <w:r>
              <w:t xml:space="preserve">омах (в расчете на </w:t>
            </w:r>
            <w:r>
              <w:t xml:space="preserve">1 кв. м общей площади)</w:t>
            </w:r>
          </w:p>
        </w:tc>
        <w:tc>
          <w:tcPr>
            <w:tcW w:w="1984"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кВт</w:t>
            </w:r>
            <w:r>
              <w:t xml:space="preserve">.ч</w:t>
            </w:r>
            <w:r>
              <w:t xml:space="preserve">./ кв. м</w:t>
            </w:r>
          </w:p>
        </w:tc>
        <w:tc>
          <w:tcPr>
            <w:tcW w:w="10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900,10</w:t>
            </w:r>
          </w:p>
        </w:tc>
        <w:tc>
          <w:tcPr>
            <w:tcW w:w="1028" w:type="dxa"/>
            <w:tcBorders>
              <w:top w:val="single" w:color="000000" w:sz="4" w:space="0"/>
              <w:left w:val="single" w:color="auto" w:sz="4" w:space="0"/>
              <w:bottom w:val="single" w:color="000000" w:sz="4" w:space="0"/>
            </w:tcBorders>
            <w:shd w:val="clear" w:color="auto" w:fill="auto"/>
          </w:tcPr>
          <w:p>
            <w:pPr>
              <w:pStyle w:val="ConsPlusNormal"/>
              <w:jc w:val="center"/>
            </w:pPr>
            <w:r>
              <w:t xml:space="preserve">900,8</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900,7</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900,5</w:t>
            </w:r>
          </w:p>
        </w:tc>
        <w:tc>
          <w:tcPr>
            <w:tcW w:w="102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900,4</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900,3</w:t>
            </w:r>
          </w:p>
        </w:tc>
        <w:tc>
          <w:tcPr>
            <w:tcW w:w="1028"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900,2</w:t>
            </w:r>
          </w:p>
        </w:tc>
        <w:tc>
          <w:tcPr>
            <w:tcW w:w="1028" w:type="dxa"/>
            <w:tcBorders>
              <w:top w:val="single" w:color="000000" w:sz="4" w:space="0"/>
              <w:left w:val="single" w:color="auto" w:sz="4" w:space="0"/>
              <w:bottom w:val="single" w:color="000000" w:sz="4" w:space="0"/>
              <w:right w:val="single" w:color="000000" w:sz="4" w:space="0"/>
            </w:tcBorders>
            <w:shd w:val="clear" w:color="auto" w:fill="auto"/>
          </w:tcPr>
          <w:p>
            <w:pPr>
              <w:pStyle w:val="ConsPlusNormal"/>
              <w:jc w:val="center"/>
            </w:pPr>
            <w:r>
              <w:t xml:space="preserve">900,1</w:t>
            </w:r>
          </w:p>
        </w:tc>
      </w:tr>
      <w:tr>
        <w:tc>
          <w:tcPr>
            <w:tcW w:w="56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12.</w:t>
            </w:r>
          </w:p>
        </w:tc>
        <w:tc>
          <w:tcPr>
            <w:tcW w:w="5387" w:type="dxa"/>
            <w:tcBorders>
              <w:top w:val="single" w:color="000000" w:sz="4" w:space="0"/>
              <w:left w:val="single" w:color="000000" w:sz="4" w:space="0"/>
              <w:bottom w:val="single" w:color="000000" w:sz="4" w:space="0"/>
            </w:tcBorders>
            <w:shd w:val="clear" w:color="auto" w:fill="auto"/>
          </w:tcPr>
          <w:p>
            <w:pPr>
              <w:pStyle w:val="ConsPlusNormal"/>
            </w:pPr>
            <w:r>
              <w:t xml:space="preserve">Удельный расход природного газа в многоквартирных домах с индивидуальными системами газового отопления (в расчете на              1 кв. м общей площади)</w:t>
            </w:r>
          </w:p>
        </w:tc>
        <w:tc>
          <w:tcPr>
            <w:tcW w:w="1984"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тыс. куб. м/кв. м</w:t>
            </w:r>
          </w:p>
        </w:tc>
        <w:tc>
          <w:tcPr>
            <w:tcW w:w="10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0,026</w:t>
            </w:r>
          </w:p>
        </w:tc>
        <w:tc>
          <w:tcPr>
            <w:tcW w:w="1028" w:type="dxa"/>
            <w:tcBorders>
              <w:top w:val="single" w:color="000000" w:sz="4" w:space="0"/>
              <w:left w:val="single" w:color="auto" w:sz="4" w:space="0"/>
              <w:bottom w:val="single" w:color="000000" w:sz="4" w:space="0"/>
            </w:tcBorders>
            <w:shd w:val="clear" w:color="auto" w:fill="auto"/>
          </w:tcPr>
          <w:p>
            <w:pPr>
              <w:pStyle w:val="ConsPlusNormal"/>
              <w:jc w:val="center"/>
            </w:pPr>
            <w:r>
              <w:t xml:space="preserve">0,025</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0,025</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0,024</w:t>
            </w:r>
          </w:p>
        </w:tc>
        <w:tc>
          <w:tcPr>
            <w:tcW w:w="102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0,024</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0,023</w:t>
            </w:r>
          </w:p>
        </w:tc>
        <w:tc>
          <w:tcPr>
            <w:tcW w:w="1028"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0,023</w:t>
            </w:r>
          </w:p>
        </w:tc>
        <w:tc>
          <w:tcPr>
            <w:tcW w:w="1028" w:type="dxa"/>
            <w:tcBorders>
              <w:top w:val="single" w:color="000000" w:sz="4" w:space="0"/>
              <w:left w:val="single" w:color="auto" w:sz="4" w:space="0"/>
              <w:bottom w:val="single" w:color="000000" w:sz="4" w:space="0"/>
              <w:right w:val="single" w:color="000000" w:sz="4" w:space="0"/>
            </w:tcBorders>
            <w:shd w:val="clear" w:color="auto" w:fill="auto"/>
          </w:tcPr>
          <w:p>
            <w:pPr>
              <w:pStyle w:val="ConsPlusNormal"/>
              <w:jc w:val="center"/>
            </w:pPr>
            <w:r>
              <w:t xml:space="preserve">0,023</w:t>
            </w:r>
          </w:p>
        </w:tc>
      </w:tr>
      <w:tr>
        <w:trPr>
          <w:trHeight w:val="675"/>
        </w:trPr>
        <w:tc>
          <w:tcPr>
            <w:tcW w:w="567" w:type="dxa"/>
            <w:tcBorders>
              <w:top w:val="single" w:color="auto" w:sz="4" w:space="0"/>
              <w:left w:val="single" w:color="000000" w:sz="4" w:space="0"/>
              <w:bottom w:val="single" w:color="000000" w:sz="4" w:space="0"/>
            </w:tcBorders>
            <w:shd w:val="clear" w:color="auto" w:fill="auto"/>
          </w:tcPr>
          <w:p>
            <w:pPr>
              <w:pStyle w:val="ConsPlusNormal"/>
              <w:jc w:val="center"/>
            </w:pPr>
            <w:r>
              <w:t xml:space="preserve">13.</w:t>
            </w:r>
          </w:p>
        </w:tc>
        <w:tc>
          <w:tcPr>
            <w:tcW w:w="5387" w:type="dxa"/>
            <w:tcBorders>
              <w:top w:val="single" w:color="auto" w:sz="4" w:space="0"/>
              <w:left w:val="single" w:color="000000" w:sz="4" w:space="0"/>
              <w:bottom w:val="single" w:color="000000" w:sz="4" w:space="0"/>
            </w:tcBorders>
            <w:shd w:val="clear" w:color="auto" w:fill="auto"/>
          </w:tcPr>
          <w:p>
            <w:pPr>
              <w:pStyle w:val="ConsPlusNormal"/>
            </w:pPr>
            <w:r>
              <w:t xml:space="preserve">Удельный расход природного газа в многоквартирных домах с иными системами теплоснабжения (в расчете на 1 жителя)</w:t>
            </w:r>
          </w:p>
        </w:tc>
        <w:tc>
          <w:tcPr>
            <w:tcW w:w="1984" w:type="dxa"/>
            <w:tcBorders>
              <w:top w:val="single" w:color="auto" w:sz="4" w:space="0"/>
              <w:left w:val="single" w:color="000000" w:sz="4" w:space="0"/>
              <w:bottom w:val="single" w:color="000000" w:sz="4" w:space="0"/>
            </w:tcBorders>
            <w:shd w:val="clear" w:color="auto" w:fill="auto"/>
          </w:tcPr>
          <w:p>
            <w:pPr>
              <w:pStyle w:val="ConsPlusNormal"/>
              <w:jc w:val="center"/>
            </w:pPr>
            <w:r>
              <w:t xml:space="preserve">тыс. куб. м/чел.</w:t>
            </w:r>
          </w:p>
        </w:tc>
        <w:tc>
          <w:tcPr>
            <w:tcW w:w="1027" w:type="dxa"/>
            <w:tcBorders>
              <w:top w:val="single" w:color="auto" w:sz="4" w:space="0"/>
              <w:left w:val="single" w:color="000000" w:sz="4" w:space="0"/>
              <w:bottom w:val="single" w:color="000000" w:sz="4" w:space="0"/>
              <w:right w:val="single" w:color="auto" w:sz="4" w:space="0"/>
            </w:tcBorders>
            <w:shd w:val="clear" w:color="auto" w:fill="auto"/>
          </w:tcPr>
          <w:p>
            <w:pPr>
              <w:pStyle w:val="ConsPlusNormal"/>
              <w:jc w:val="center"/>
            </w:pPr>
            <w:r>
              <w:t xml:space="preserve">320,8</w:t>
            </w:r>
          </w:p>
        </w:tc>
        <w:tc>
          <w:tcPr>
            <w:tcW w:w="1028" w:type="dxa"/>
            <w:tcBorders>
              <w:top w:val="single" w:color="auto" w:sz="4" w:space="0"/>
              <w:left w:val="single" w:color="auto" w:sz="4" w:space="0"/>
              <w:bottom w:val="single" w:color="000000" w:sz="4" w:space="0"/>
            </w:tcBorders>
            <w:shd w:val="clear" w:color="auto" w:fill="auto"/>
          </w:tcPr>
          <w:p>
            <w:pPr>
              <w:pStyle w:val="ConsPlusNormal"/>
              <w:jc w:val="center"/>
            </w:pPr>
            <w:r>
              <w:t xml:space="preserve">320,6</w:t>
            </w:r>
          </w:p>
        </w:tc>
        <w:tc>
          <w:tcPr>
            <w:tcW w:w="1028" w:type="dxa"/>
            <w:tcBorders>
              <w:top w:val="single" w:color="auto" w:sz="4" w:space="0"/>
              <w:left w:val="single" w:color="000000" w:sz="4" w:space="0"/>
              <w:bottom w:val="single" w:color="000000" w:sz="4" w:space="0"/>
            </w:tcBorders>
            <w:shd w:val="clear" w:color="auto" w:fill="auto"/>
          </w:tcPr>
          <w:p>
            <w:pPr>
              <w:pStyle w:val="ConsPlusNormal"/>
              <w:jc w:val="center"/>
            </w:pPr>
            <w:r>
              <w:t xml:space="preserve">320,5</w:t>
            </w:r>
          </w:p>
        </w:tc>
        <w:tc>
          <w:tcPr>
            <w:tcW w:w="1028" w:type="dxa"/>
            <w:tcBorders>
              <w:top w:val="single" w:color="auto" w:sz="4" w:space="0"/>
              <w:left w:val="single" w:color="000000" w:sz="4" w:space="0"/>
              <w:bottom w:val="single" w:color="000000" w:sz="4" w:space="0"/>
            </w:tcBorders>
            <w:shd w:val="clear" w:color="auto" w:fill="auto"/>
          </w:tcPr>
          <w:p>
            <w:pPr>
              <w:pStyle w:val="ConsPlusNormal"/>
              <w:jc w:val="center"/>
            </w:pPr>
            <w:r>
              <w:t xml:space="preserve">320,4</w:t>
            </w:r>
          </w:p>
        </w:tc>
        <w:tc>
          <w:tcPr>
            <w:tcW w:w="1027" w:type="dxa"/>
            <w:tcBorders>
              <w:top w:val="single" w:color="auto" w:sz="4" w:space="0"/>
              <w:left w:val="single" w:color="000000" w:sz="4" w:space="0"/>
              <w:bottom w:val="single" w:color="000000" w:sz="4" w:space="0"/>
            </w:tcBorders>
            <w:shd w:val="clear" w:color="auto" w:fill="auto"/>
          </w:tcPr>
          <w:p>
            <w:pPr>
              <w:pStyle w:val="ConsPlusNormal"/>
              <w:jc w:val="center"/>
            </w:pPr>
            <w:r>
              <w:t xml:space="preserve">320,4</w:t>
            </w:r>
          </w:p>
        </w:tc>
        <w:tc>
          <w:tcPr>
            <w:tcW w:w="1028" w:type="dxa"/>
            <w:tcBorders>
              <w:top w:val="single" w:color="auto" w:sz="4" w:space="0"/>
              <w:left w:val="single" w:color="000000" w:sz="4" w:space="0"/>
              <w:bottom w:val="single" w:color="000000" w:sz="4" w:space="0"/>
            </w:tcBorders>
            <w:shd w:val="clear" w:color="auto" w:fill="auto"/>
          </w:tcPr>
          <w:p>
            <w:pPr>
              <w:pStyle w:val="ConsPlusNormal"/>
              <w:jc w:val="center"/>
            </w:pPr>
            <w:r>
              <w:t xml:space="preserve">320,3</w:t>
            </w:r>
          </w:p>
        </w:tc>
        <w:tc>
          <w:tcPr>
            <w:tcW w:w="1028" w:type="dxa"/>
            <w:tcBorders>
              <w:top w:val="single" w:color="auto" w:sz="4" w:space="0"/>
              <w:left w:val="single" w:color="000000" w:sz="4" w:space="0"/>
              <w:bottom w:val="single" w:color="000000" w:sz="4" w:space="0"/>
              <w:right w:val="single" w:color="auto" w:sz="4" w:space="0"/>
            </w:tcBorders>
            <w:shd w:val="clear" w:color="auto" w:fill="auto"/>
          </w:tcPr>
          <w:p>
            <w:pPr>
              <w:pStyle w:val="ConsPlusNormal"/>
              <w:jc w:val="center"/>
            </w:pPr>
            <w:r>
              <w:t xml:space="preserve">320,2</w:t>
            </w:r>
          </w:p>
        </w:tc>
        <w:tc>
          <w:tcPr>
            <w:tcW w:w="1028" w:type="dxa"/>
            <w:tcBorders>
              <w:top w:val="single" w:color="auto" w:sz="4" w:space="0"/>
              <w:left w:val="single" w:color="auto" w:sz="4" w:space="0"/>
              <w:bottom w:val="single" w:color="000000" w:sz="4" w:space="0"/>
              <w:right w:val="single" w:color="000000" w:sz="4" w:space="0"/>
            </w:tcBorders>
            <w:shd w:val="clear" w:color="auto" w:fill="auto"/>
          </w:tcPr>
          <w:p>
            <w:pPr>
              <w:pStyle w:val="ConsPlusNormal"/>
              <w:jc w:val="center"/>
            </w:pPr>
            <w:r>
              <w:t xml:space="preserve">320,1</w:t>
            </w:r>
          </w:p>
        </w:tc>
      </w:tr>
      <w:tr>
        <w:tc>
          <w:tcPr>
            <w:tcW w:w="16160" w:type="dxa"/>
            <w:gridSpan w:val="11"/>
            <w:tcBorders>
              <w:top w:val="single" w:color="000000" w:sz="4" w:space="0"/>
              <w:left w:val="single" w:color="000000" w:sz="4" w:space="0"/>
              <w:bottom w:val="single" w:color="000000" w:sz="4" w:space="0"/>
              <w:right w:val="single" w:color="000000" w:sz="4" w:space="0"/>
            </w:tcBorders>
            <w:shd w:val="clear" w:color="auto" w:fill="auto"/>
          </w:tcPr>
          <w:p>
            <w:pPr>
              <w:pStyle w:val="ConsPlusNormal"/>
            </w:pPr>
            <w:r>
              <w:t xml:space="preserve">Задача 3. Сокращение потерь энергетических ресурсов при их транспортировке</w:t>
            </w:r>
          </w:p>
        </w:tc>
      </w:tr>
      <w:tr>
        <w:tc>
          <w:tcPr>
            <w:tcW w:w="56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14.</w:t>
            </w:r>
          </w:p>
        </w:tc>
        <w:tc>
          <w:tcPr>
            <w:tcW w:w="5387" w:type="dxa"/>
            <w:tcBorders>
              <w:top w:val="single" w:color="000000" w:sz="4" w:space="0"/>
              <w:left w:val="single" w:color="000000" w:sz="4" w:space="0"/>
              <w:bottom w:val="single" w:color="000000" w:sz="4" w:space="0"/>
            </w:tcBorders>
            <w:shd w:val="clear" w:color="auto" w:fill="auto"/>
          </w:tcPr>
          <w:p>
            <w:pPr>
              <w:pStyle w:val="ConsPlusNormal"/>
            </w:pPr>
            <w:r>
              <w:t xml:space="preserve">Удельный суммарный расход энергетических ресурсов в многоквартирных домах</w:t>
            </w:r>
          </w:p>
        </w:tc>
        <w:tc>
          <w:tcPr>
            <w:tcW w:w="1984"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т.у.т</w:t>
            </w:r>
            <w:r>
              <w:t xml:space="preserve">./кв. м</w:t>
            </w:r>
          </w:p>
        </w:tc>
        <w:tc>
          <w:tcPr>
            <w:tcW w:w="10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0,034</w:t>
            </w:r>
          </w:p>
        </w:tc>
        <w:tc>
          <w:tcPr>
            <w:tcW w:w="1028" w:type="dxa"/>
            <w:tcBorders>
              <w:top w:val="single" w:color="000000" w:sz="4" w:space="0"/>
              <w:left w:val="single" w:color="auto" w:sz="4" w:space="0"/>
              <w:bottom w:val="single" w:color="000000" w:sz="4" w:space="0"/>
            </w:tcBorders>
            <w:shd w:val="clear" w:color="auto" w:fill="auto"/>
          </w:tcPr>
          <w:p>
            <w:pPr>
              <w:pStyle w:val="ConsPlusNormal"/>
              <w:jc w:val="center"/>
            </w:pPr>
            <w:r>
              <w:t xml:space="preserve">0,033</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0,033</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0,032</w:t>
            </w:r>
          </w:p>
        </w:tc>
        <w:tc>
          <w:tcPr>
            <w:tcW w:w="102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0,032</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0,031</w:t>
            </w:r>
          </w:p>
        </w:tc>
        <w:tc>
          <w:tcPr>
            <w:tcW w:w="1028"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0,031</w:t>
            </w:r>
          </w:p>
        </w:tc>
        <w:tc>
          <w:tcPr>
            <w:tcW w:w="1028" w:type="dxa"/>
            <w:tcBorders>
              <w:top w:val="single" w:color="000000" w:sz="4" w:space="0"/>
              <w:left w:val="single" w:color="auto" w:sz="4" w:space="0"/>
              <w:bottom w:val="single" w:color="000000" w:sz="4" w:space="0"/>
              <w:right w:val="single" w:color="000000" w:sz="4" w:space="0"/>
            </w:tcBorders>
            <w:shd w:val="clear" w:color="auto" w:fill="auto"/>
          </w:tcPr>
          <w:p>
            <w:pPr>
              <w:pStyle w:val="ConsPlusNormal"/>
              <w:jc w:val="center"/>
            </w:pPr>
            <w:r>
              <w:t xml:space="preserve">0,030</w:t>
            </w:r>
          </w:p>
        </w:tc>
      </w:tr>
      <w:tr>
        <w:tc>
          <w:tcPr>
            <w:tcW w:w="16160" w:type="dxa"/>
            <w:gridSpan w:val="11"/>
            <w:tcBorders>
              <w:top w:val="single" w:color="000000" w:sz="4" w:space="0"/>
              <w:left w:val="single" w:color="000000" w:sz="4" w:space="0"/>
              <w:bottom w:val="single" w:color="000000" w:sz="4" w:space="0"/>
              <w:right w:val="single" w:color="000000" w:sz="4" w:space="0"/>
            </w:tcBorders>
            <w:shd w:val="clear" w:color="auto" w:fill="auto"/>
          </w:tcPr>
          <w:p>
            <w:pPr>
              <w:pStyle w:val="ConsPlusNormal"/>
            </w:pPr>
            <w:bookmarkStart w:id="7" w:name="Par2867"/>
            <w:bookmarkEnd w:id="7"/>
            <w:r>
              <w:t xml:space="preserve">Задача 4. Повышение эффективности энергопотребления путем внедрения современных энергосберегающих технологий и оборудования в бюджетном секторе, в жилищном фонде и системах коммунальной инфраструктуры</w:t>
            </w:r>
          </w:p>
        </w:tc>
      </w:tr>
      <w:tr>
        <w:tc>
          <w:tcPr>
            <w:tcW w:w="56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15.</w:t>
            </w:r>
          </w:p>
        </w:tc>
        <w:tc>
          <w:tcPr>
            <w:tcW w:w="5387" w:type="dxa"/>
            <w:tcBorders>
              <w:top w:val="single" w:color="000000" w:sz="4" w:space="0"/>
              <w:left w:val="single" w:color="000000" w:sz="4" w:space="0"/>
              <w:bottom w:val="single" w:color="000000" w:sz="4" w:space="0"/>
            </w:tcBorders>
            <w:shd w:val="clear" w:color="auto" w:fill="auto"/>
          </w:tcPr>
          <w:p>
            <w:pPr>
              <w:pStyle w:val="ConsPlusNormal"/>
            </w:pPr>
            <w:r>
              <w:t xml:space="preserve">Удельный расход топлива на выработку тепловой энергии на котельных</w:t>
            </w:r>
          </w:p>
        </w:tc>
        <w:tc>
          <w:tcPr>
            <w:tcW w:w="1984"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т.у.т</w:t>
            </w:r>
            <w:r>
              <w:t xml:space="preserve">./Гкал</w:t>
            </w:r>
          </w:p>
        </w:tc>
        <w:tc>
          <w:tcPr>
            <w:tcW w:w="10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163,21</w:t>
            </w:r>
          </w:p>
        </w:tc>
        <w:tc>
          <w:tcPr>
            <w:tcW w:w="1028" w:type="dxa"/>
            <w:tcBorders>
              <w:top w:val="single" w:color="000000" w:sz="4" w:space="0"/>
              <w:left w:val="single" w:color="auto" w:sz="4" w:space="0"/>
              <w:bottom w:val="single" w:color="000000" w:sz="4" w:space="0"/>
            </w:tcBorders>
            <w:shd w:val="clear" w:color="auto" w:fill="auto"/>
          </w:tcPr>
          <w:p>
            <w:pPr>
              <w:pStyle w:val="ConsPlusNormal"/>
              <w:jc w:val="center"/>
            </w:pPr>
            <w:r>
              <w:t xml:space="preserve">162,8</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162,5</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162,1</w:t>
            </w:r>
          </w:p>
        </w:tc>
        <w:tc>
          <w:tcPr>
            <w:tcW w:w="102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161,7</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161,1</w:t>
            </w:r>
          </w:p>
        </w:tc>
        <w:tc>
          <w:tcPr>
            <w:tcW w:w="1028"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160,6</w:t>
            </w:r>
          </w:p>
        </w:tc>
        <w:tc>
          <w:tcPr>
            <w:tcW w:w="1028" w:type="dxa"/>
            <w:tcBorders>
              <w:top w:val="single" w:color="000000" w:sz="4" w:space="0"/>
              <w:left w:val="single" w:color="auto" w:sz="4" w:space="0"/>
              <w:bottom w:val="single" w:color="000000" w:sz="4" w:space="0"/>
              <w:right w:val="single" w:color="000000" w:sz="4" w:space="0"/>
            </w:tcBorders>
            <w:shd w:val="clear" w:color="auto" w:fill="auto"/>
          </w:tcPr>
          <w:p>
            <w:pPr>
              <w:pStyle w:val="ConsPlusNormal"/>
              <w:jc w:val="center"/>
            </w:pPr>
            <w:r>
              <w:t xml:space="preserve">160,0</w:t>
            </w:r>
          </w:p>
        </w:tc>
      </w:tr>
      <w:tr>
        <w:tc>
          <w:tcPr>
            <w:tcW w:w="56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16.</w:t>
            </w:r>
          </w:p>
        </w:tc>
        <w:tc>
          <w:tcPr>
            <w:tcW w:w="5387" w:type="dxa"/>
            <w:tcBorders>
              <w:top w:val="single" w:color="000000" w:sz="4" w:space="0"/>
              <w:left w:val="single" w:color="000000" w:sz="4" w:space="0"/>
              <w:bottom w:val="single" w:color="000000" w:sz="4" w:space="0"/>
            </w:tcBorders>
            <w:shd w:val="clear" w:color="auto" w:fill="auto"/>
          </w:tcPr>
          <w:p>
            <w:pPr>
              <w:pStyle w:val="ConsPlusNormal"/>
            </w:pPr>
            <w:r>
              <w:t xml:space="preserve">Удельный расход электрической энергии, используемой при передаче тепловой энергии в системах теплоснабжения</w:t>
            </w:r>
          </w:p>
        </w:tc>
        <w:tc>
          <w:tcPr>
            <w:tcW w:w="1984"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кВт</w:t>
            </w:r>
            <w:r>
              <w:t xml:space="preserve">.ч</w:t>
            </w:r>
            <w:r>
              <w:t xml:space="preserve">./Гкал</w:t>
            </w:r>
          </w:p>
        </w:tc>
        <w:tc>
          <w:tcPr>
            <w:tcW w:w="10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18,24</w:t>
            </w:r>
          </w:p>
        </w:tc>
        <w:tc>
          <w:tcPr>
            <w:tcW w:w="1028" w:type="dxa"/>
            <w:tcBorders>
              <w:top w:val="single" w:color="000000" w:sz="4" w:space="0"/>
              <w:left w:val="single" w:color="auto" w:sz="4" w:space="0"/>
              <w:bottom w:val="single" w:color="000000" w:sz="4" w:space="0"/>
            </w:tcBorders>
            <w:shd w:val="clear" w:color="auto" w:fill="auto"/>
          </w:tcPr>
          <w:p>
            <w:pPr>
              <w:pStyle w:val="ConsPlusNormal"/>
              <w:jc w:val="center"/>
            </w:pPr>
            <w:r>
              <w:t xml:space="preserve">18,79</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18,5</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18,2</w:t>
            </w:r>
          </w:p>
        </w:tc>
        <w:tc>
          <w:tcPr>
            <w:tcW w:w="102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18,0</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18,0</w:t>
            </w:r>
          </w:p>
        </w:tc>
        <w:tc>
          <w:tcPr>
            <w:tcW w:w="1028"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18,0</w:t>
            </w:r>
          </w:p>
        </w:tc>
        <w:tc>
          <w:tcPr>
            <w:tcW w:w="1028" w:type="dxa"/>
            <w:tcBorders>
              <w:top w:val="single" w:color="000000" w:sz="4" w:space="0"/>
              <w:left w:val="single" w:color="auto" w:sz="4" w:space="0"/>
              <w:bottom w:val="single" w:color="000000" w:sz="4" w:space="0"/>
              <w:right w:val="single" w:color="000000" w:sz="4" w:space="0"/>
            </w:tcBorders>
            <w:shd w:val="clear" w:color="auto" w:fill="auto"/>
          </w:tcPr>
          <w:p>
            <w:pPr>
              <w:pStyle w:val="ConsPlusNormal"/>
              <w:jc w:val="center"/>
            </w:pPr>
            <w:r>
              <w:t xml:space="preserve">18,0</w:t>
            </w:r>
          </w:p>
        </w:tc>
      </w:tr>
      <w:tr>
        <w:trPr>
          <w:trHeight w:val="745"/>
        </w:trPr>
        <w:tc>
          <w:tcPr>
            <w:tcW w:w="56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17.</w:t>
            </w:r>
          </w:p>
        </w:tc>
        <w:tc>
          <w:tcPr>
            <w:tcW w:w="5387" w:type="dxa"/>
            <w:tcBorders>
              <w:top w:val="single" w:color="000000" w:sz="4" w:space="0"/>
              <w:left w:val="single" w:color="000000" w:sz="4" w:space="0"/>
              <w:bottom w:val="single" w:color="000000" w:sz="4" w:space="0"/>
            </w:tcBorders>
            <w:shd w:val="clear" w:color="auto" w:fill="auto"/>
          </w:tcPr>
          <w:p>
            <w:pPr>
              <w:pStyle w:val="ConsPlusNormal"/>
            </w:pPr>
            <w:r>
              <w:t xml:space="preserve">Доля потерь тепловой энергии при ее передаче в общем объеме переданной тепловой энергии</w:t>
            </w:r>
          </w:p>
        </w:tc>
        <w:tc>
          <w:tcPr>
            <w:tcW w:w="1984"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процентов</w:t>
            </w:r>
          </w:p>
        </w:tc>
        <w:tc>
          <w:tcPr>
            <w:tcW w:w="10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9,6</w:t>
            </w:r>
          </w:p>
        </w:tc>
        <w:tc>
          <w:tcPr>
            <w:tcW w:w="1028" w:type="dxa"/>
            <w:tcBorders>
              <w:top w:val="single" w:color="000000" w:sz="4" w:space="0"/>
              <w:left w:val="single" w:color="auto" w:sz="4" w:space="0"/>
              <w:bottom w:val="single" w:color="000000" w:sz="4" w:space="0"/>
            </w:tcBorders>
            <w:shd w:val="clear" w:color="auto" w:fill="auto"/>
          </w:tcPr>
          <w:p>
            <w:pPr>
              <w:pStyle w:val="ConsPlusNormal"/>
              <w:jc w:val="center"/>
            </w:pPr>
            <w:r>
              <w:t xml:space="preserve">9,6</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9,5</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9,0</w:t>
            </w:r>
          </w:p>
        </w:tc>
        <w:tc>
          <w:tcPr>
            <w:tcW w:w="102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8,3</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8,3</w:t>
            </w:r>
          </w:p>
        </w:tc>
        <w:tc>
          <w:tcPr>
            <w:tcW w:w="1028"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8,0</w:t>
            </w:r>
          </w:p>
        </w:tc>
        <w:tc>
          <w:tcPr>
            <w:tcW w:w="1028" w:type="dxa"/>
            <w:tcBorders>
              <w:top w:val="single" w:color="000000" w:sz="4" w:space="0"/>
              <w:left w:val="single" w:color="auto" w:sz="4" w:space="0"/>
              <w:bottom w:val="single" w:color="000000" w:sz="4" w:space="0"/>
              <w:right w:val="single" w:color="000000" w:sz="4" w:space="0"/>
            </w:tcBorders>
            <w:shd w:val="clear" w:color="auto" w:fill="auto"/>
          </w:tcPr>
          <w:p>
            <w:pPr>
              <w:pStyle w:val="ConsPlusNormal"/>
              <w:jc w:val="center"/>
            </w:pPr>
            <w:r>
              <w:t xml:space="preserve">8,0</w:t>
            </w:r>
          </w:p>
        </w:tc>
      </w:tr>
      <w:tr>
        <w:trPr>
          <w:trHeight w:val="228"/>
        </w:trPr>
        <w:tc>
          <w:tcPr>
            <w:tcW w:w="567" w:type="dxa"/>
            <w:tcBorders>
              <w:top w:val="single" w:color="000000" w:sz="4" w:space="0"/>
              <w:left w:val="single" w:color="000000" w:sz="4" w:space="0"/>
              <w:bottom w:val="single" w:color="auto" w:sz="4" w:space="0"/>
            </w:tcBorders>
            <w:shd w:val="clear" w:color="auto" w:fill="auto"/>
          </w:tcPr>
          <w:p>
            <w:pPr>
              <w:pStyle w:val="ConsPlusNormal"/>
              <w:jc w:val="center"/>
            </w:pPr>
            <w:r>
              <w:t xml:space="preserve">1</w:t>
            </w:r>
          </w:p>
        </w:tc>
        <w:tc>
          <w:tcPr>
            <w:tcW w:w="5387" w:type="dxa"/>
            <w:tcBorders>
              <w:top w:val="single" w:color="000000" w:sz="4" w:space="0"/>
              <w:left w:val="single" w:color="000000" w:sz="4" w:space="0"/>
              <w:bottom w:val="single" w:color="auto" w:sz="4" w:space="0"/>
            </w:tcBorders>
            <w:shd w:val="clear" w:color="auto" w:fill="auto"/>
          </w:tcPr>
          <w:p>
            <w:pPr>
              <w:pStyle w:val="ConsPlusNormal"/>
              <w:jc w:val="center"/>
            </w:pPr>
            <w:r>
              <w:t xml:space="preserve">2</w:t>
            </w:r>
          </w:p>
        </w:tc>
        <w:tc>
          <w:tcPr>
            <w:tcW w:w="1984" w:type="dxa"/>
            <w:tcBorders>
              <w:top w:val="single" w:color="000000" w:sz="4" w:space="0"/>
              <w:left w:val="single" w:color="000000" w:sz="4" w:space="0"/>
              <w:bottom w:val="single" w:color="auto" w:sz="4" w:space="0"/>
            </w:tcBorders>
            <w:shd w:val="clear" w:color="auto" w:fill="auto"/>
          </w:tcPr>
          <w:p>
            <w:pPr>
              <w:pStyle w:val="ConsPlusNormal"/>
              <w:jc w:val="center"/>
            </w:pPr>
            <w:r>
              <w:t xml:space="preserve">3</w:t>
            </w:r>
          </w:p>
        </w:tc>
        <w:tc>
          <w:tcPr>
            <w:tcW w:w="1027" w:type="dxa"/>
            <w:tcBorders>
              <w:top w:val="single" w:color="000000" w:sz="4" w:space="0"/>
              <w:left w:val="single" w:color="000000" w:sz="4" w:space="0"/>
              <w:bottom w:val="single" w:color="auto" w:sz="4" w:space="0"/>
              <w:right w:val="single" w:color="auto" w:sz="4" w:space="0"/>
            </w:tcBorders>
            <w:shd w:val="clear" w:color="auto" w:fill="auto"/>
          </w:tcPr>
          <w:p>
            <w:pPr>
              <w:pStyle w:val="ConsPlusNormal"/>
              <w:jc w:val="center"/>
            </w:pPr>
            <w:r>
              <w:t xml:space="preserve">4</w:t>
            </w:r>
          </w:p>
        </w:tc>
        <w:tc>
          <w:tcPr>
            <w:tcW w:w="1028" w:type="dxa"/>
            <w:tcBorders>
              <w:top w:val="single" w:color="000000" w:sz="4" w:space="0"/>
              <w:left w:val="single" w:color="auto" w:sz="4" w:space="0"/>
              <w:bottom w:val="single" w:color="auto" w:sz="4" w:space="0"/>
            </w:tcBorders>
            <w:shd w:val="clear" w:color="auto" w:fill="auto"/>
          </w:tcPr>
          <w:p>
            <w:pPr>
              <w:pStyle w:val="ConsPlusNormal"/>
              <w:jc w:val="center"/>
            </w:pPr>
            <w:r>
              <w:t xml:space="preserve">5</w:t>
            </w:r>
          </w:p>
        </w:tc>
        <w:tc>
          <w:tcPr>
            <w:tcW w:w="1028" w:type="dxa"/>
            <w:tcBorders>
              <w:top w:val="single" w:color="000000" w:sz="4" w:space="0"/>
              <w:left w:val="single" w:color="000000" w:sz="4" w:space="0"/>
              <w:bottom w:val="single" w:color="auto" w:sz="4" w:space="0"/>
            </w:tcBorders>
            <w:shd w:val="clear" w:color="auto" w:fill="auto"/>
          </w:tcPr>
          <w:p>
            <w:pPr>
              <w:pStyle w:val="ConsPlusNormal"/>
              <w:jc w:val="center"/>
            </w:pPr>
            <w:r>
              <w:t xml:space="preserve">6</w:t>
            </w:r>
          </w:p>
        </w:tc>
        <w:tc>
          <w:tcPr>
            <w:tcW w:w="1028" w:type="dxa"/>
            <w:tcBorders>
              <w:top w:val="single" w:color="000000" w:sz="4" w:space="0"/>
              <w:left w:val="single" w:color="000000" w:sz="4" w:space="0"/>
              <w:bottom w:val="single" w:color="auto" w:sz="4" w:space="0"/>
            </w:tcBorders>
            <w:shd w:val="clear" w:color="auto" w:fill="auto"/>
          </w:tcPr>
          <w:p>
            <w:pPr>
              <w:pStyle w:val="ConsPlusNormal"/>
              <w:jc w:val="center"/>
            </w:pPr>
            <w:r>
              <w:t xml:space="preserve">7</w:t>
            </w:r>
          </w:p>
        </w:tc>
        <w:tc>
          <w:tcPr>
            <w:tcW w:w="1027" w:type="dxa"/>
            <w:tcBorders>
              <w:top w:val="single" w:color="000000" w:sz="4" w:space="0"/>
              <w:left w:val="single" w:color="000000" w:sz="4" w:space="0"/>
              <w:bottom w:val="single" w:color="auto" w:sz="4" w:space="0"/>
            </w:tcBorders>
            <w:shd w:val="clear" w:color="auto" w:fill="auto"/>
          </w:tcPr>
          <w:p>
            <w:pPr>
              <w:pStyle w:val="ConsPlusNormal"/>
              <w:jc w:val="center"/>
            </w:pPr>
            <w:r>
              <w:t xml:space="preserve">8</w:t>
            </w:r>
          </w:p>
        </w:tc>
        <w:tc>
          <w:tcPr>
            <w:tcW w:w="1028" w:type="dxa"/>
            <w:tcBorders>
              <w:top w:val="single" w:color="000000" w:sz="4" w:space="0"/>
              <w:left w:val="single" w:color="000000" w:sz="4" w:space="0"/>
              <w:bottom w:val="single" w:color="auto" w:sz="4" w:space="0"/>
            </w:tcBorders>
            <w:shd w:val="clear" w:color="auto" w:fill="auto"/>
          </w:tcPr>
          <w:p>
            <w:pPr>
              <w:pStyle w:val="ConsPlusNormal"/>
              <w:jc w:val="center"/>
            </w:pPr>
            <w:r>
              <w:t xml:space="preserve">9</w:t>
            </w:r>
          </w:p>
        </w:tc>
        <w:tc>
          <w:tcPr>
            <w:tcW w:w="1028" w:type="dxa"/>
            <w:tcBorders>
              <w:top w:val="single" w:color="000000" w:sz="4" w:space="0"/>
              <w:left w:val="single" w:color="000000" w:sz="4" w:space="0"/>
              <w:bottom w:val="single" w:color="auto" w:sz="4" w:space="0"/>
              <w:right w:val="single" w:color="auto" w:sz="4" w:space="0"/>
            </w:tcBorders>
            <w:shd w:val="clear" w:color="auto" w:fill="auto"/>
          </w:tcPr>
          <w:p>
            <w:pPr>
              <w:pStyle w:val="ConsPlusNormal"/>
              <w:jc w:val="center"/>
            </w:pPr>
            <w:r>
              <w:t xml:space="preserve">10</w:t>
            </w:r>
          </w:p>
        </w:tc>
        <w:tc>
          <w:tcPr>
            <w:tcW w:w="1028" w:type="dxa"/>
            <w:tcBorders>
              <w:top w:val="single" w:color="000000" w:sz="4" w:space="0"/>
              <w:left w:val="single" w:color="auto" w:sz="4" w:space="0"/>
              <w:bottom w:val="single" w:color="auto" w:sz="4" w:space="0"/>
              <w:right w:val="single" w:color="000000" w:sz="4" w:space="0"/>
            </w:tcBorders>
            <w:shd w:val="clear" w:color="auto" w:fill="auto"/>
          </w:tcPr>
          <w:p>
            <w:pPr>
              <w:pStyle w:val="ConsPlusNormal"/>
              <w:jc w:val="center"/>
            </w:pPr>
            <w:r>
              <w:t xml:space="preserve">11</w:t>
            </w:r>
          </w:p>
        </w:tc>
      </w:tr>
      <w:tr>
        <w:trPr>
          <w:trHeight w:val="450"/>
        </w:trPr>
        <w:tc>
          <w:tcPr>
            <w:tcW w:w="567" w:type="dxa"/>
            <w:tcBorders>
              <w:top w:val="single" w:color="auto" w:sz="4" w:space="0"/>
              <w:left w:val="single" w:color="000000" w:sz="4" w:space="0"/>
              <w:bottom w:val="single" w:color="000000" w:sz="4" w:space="0"/>
            </w:tcBorders>
            <w:shd w:val="clear" w:color="auto" w:fill="auto"/>
          </w:tcPr>
          <w:p>
            <w:pPr>
              <w:pStyle w:val="ConsPlusNormal"/>
              <w:jc w:val="center"/>
            </w:pPr>
            <w:r>
              <w:t xml:space="preserve">18.</w:t>
            </w:r>
          </w:p>
        </w:tc>
        <w:tc>
          <w:tcPr>
            <w:tcW w:w="5387" w:type="dxa"/>
            <w:tcBorders>
              <w:top w:val="single" w:color="auto" w:sz="4" w:space="0"/>
              <w:left w:val="single" w:color="000000" w:sz="4" w:space="0"/>
              <w:bottom w:val="single" w:color="000000" w:sz="4" w:space="0"/>
            </w:tcBorders>
            <w:shd w:val="clear" w:color="auto" w:fill="auto"/>
          </w:tcPr>
          <w:p>
            <w:pPr>
              <w:pStyle w:val="ConsPlusNormal"/>
            </w:pPr>
            <w:r>
              <w:t xml:space="preserve">Доля потерь воды при ее передаче в общем объеме переданной воды</w:t>
            </w:r>
          </w:p>
        </w:tc>
        <w:tc>
          <w:tcPr>
            <w:tcW w:w="1984" w:type="dxa"/>
            <w:tcBorders>
              <w:top w:val="single" w:color="auto" w:sz="4" w:space="0"/>
              <w:left w:val="single" w:color="000000" w:sz="4" w:space="0"/>
              <w:bottom w:val="single" w:color="000000" w:sz="4" w:space="0"/>
            </w:tcBorders>
            <w:shd w:val="clear" w:color="auto" w:fill="auto"/>
          </w:tcPr>
          <w:p>
            <w:pPr>
              <w:pStyle w:val="ConsPlusNormal"/>
              <w:jc w:val="center"/>
            </w:pPr>
            <w:r>
              <w:t xml:space="preserve">процентов</w:t>
            </w:r>
          </w:p>
        </w:tc>
        <w:tc>
          <w:tcPr>
            <w:tcW w:w="1027" w:type="dxa"/>
            <w:tcBorders>
              <w:top w:val="single" w:color="auto" w:sz="4" w:space="0"/>
              <w:left w:val="single" w:color="000000" w:sz="4" w:space="0"/>
              <w:bottom w:val="single" w:color="000000" w:sz="4" w:space="0"/>
              <w:right w:val="single" w:color="auto" w:sz="4" w:space="0"/>
            </w:tcBorders>
            <w:shd w:val="clear" w:color="auto" w:fill="auto"/>
          </w:tcPr>
          <w:p>
            <w:pPr>
              <w:pStyle w:val="ConsPlusNormal"/>
              <w:jc w:val="center"/>
            </w:pPr>
            <w:r>
              <w:t xml:space="preserve">21,05</w:t>
            </w:r>
          </w:p>
        </w:tc>
        <w:tc>
          <w:tcPr>
            <w:tcW w:w="1028" w:type="dxa"/>
            <w:tcBorders>
              <w:top w:val="single" w:color="auto" w:sz="4" w:space="0"/>
              <w:left w:val="single" w:color="auto" w:sz="4" w:space="0"/>
              <w:bottom w:val="single" w:color="000000" w:sz="4" w:space="0"/>
            </w:tcBorders>
            <w:shd w:val="clear" w:color="auto" w:fill="auto"/>
          </w:tcPr>
          <w:p>
            <w:pPr>
              <w:pStyle w:val="ConsPlusNormal"/>
              <w:jc w:val="center"/>
            </w:pPr>
            <w:r>
              <w:t xml:space="preserve">21,04</w:t>
            </w:r>
          </w:p>
        </w:tc>
        <w:tc>
          <w:tcPr>
            <w:tcW w:w="1028" w:type="dxa"/>
            <w:tcBorders>
              <w:top w:val="single" w:color="auto" w:sz="4" w:space="0"/>
              <w:left w:val="single" w:color="000000" w:sz="4" w:space="0"/>
              <w:bottom w:val="single" w:color="000000" w:sz="4" w:space="0"/>
            </w:tcBorders>
            <w:shd w:val="clear" w:color="auto" w:fill="auto"/>
          </w:tcPr>
          <w:p>
            <w:pPr>
              <w:pStyle w:val="ConsPlusNormal"/>
              <w:jc w:val="center"/>
            </w:pPr>
            <w:r>
              <w:t xml:space="preserve">21,03</w:t>
            </w:r>
          </w:p>
        </w:tc>
        <w:tc>
          <w:tcPr>
            <w:tcW w:w="1028" w:type="dxa"/>
            <w:tcBorders>
              <w:top w:val="single" w:color="auto" w:sz="4" w:space="0"/>
              <w:left w:val="single" w:color="000000" w:sz="4" w:space="0"/>
              <w:bottom w:val="single" w:color="000000" w:sz="4" w:space="0"/>
            </w:tcBorders>
            <w:shd w:val="clear" w:color="auto" w:fill="auto"/>
          </w:tcPr>
          <w:p>
            <w:pPr>
              <w:pStyle w:val="ConsPlusNormal"/>
              <w:jc w:val="center"/>
            </w:pPr>
            <w:r>
              <w:t xml:space="preserve">21,02</w:t>
            </w:r>
          </w:p>
        </w:tc>
        <w:tc>
          <w:tcPr>
            <w:tcW w:w="1027" w:type="dxa"/>
            <w:tcBorders>
              <w:top w:val="single" w:color="auto" w:sz="4" w:space="0"/>
              <w:left w:val="single" w:color="000000" w:sz="4" w:space="0"/>
              <w:bottom w:val="single" w:color="000000" w:sz="4" w:space="0"/>
            </w:tcBorders>
            <w:shd w:val="clear" w:color="auto" w:fill="auto"/>
          </w:tcPr>
          <w:p>
            <w:pPr>
              <w:pStyle w:val="ConsPlusNormal"/>
              <w:jc w:val="center"/>
            </w:pPr>
            <w:r>
              <w:t xml:space="preserve">21,01</w:t>
            </w:r>
          </w:p>
        </w:tc>
        <w:tc>
          <w:tcPr>
            <w:tcW w:w="1028" w:type="dxa"/>
            <w:tcBorders>
              <w:top w:val="single" w:color="auto" w:sz="4" w:space="0"/>
              <w:left w:val="single" w:color="000000" w:sz="4" w:space="0"/>
              <w:bottom w:val="single" w:color="000000" w:sz="4" w:space="0"/>
            </w:tcBorders>
            <w:shd w:val="clear" w:color="auto" w:fill="auto"/>
          </w:tcPr>
          <w:p>
            <w:pPr>
              <w:pStyle w:val="ConsPlusNormal"/>
              <w:jc w:val="center"/>
            </w:pPr>
            <w:r>
              <w:t xml:space="preserve">20,90</w:t>
            </w:r>
          </w:p>
        </w:tc>
        <w:tc>
          <w:tcPr>
            <w:tcW w:w="1028" w:type="dxa"/>
            <w:tcBorders>
              <w:top w:val="single" w:color="auto" w:sz="4" w:space="0"/>
              <w:left w:val="single" w:color="000000" w:sz="4" w:space="0"/>
              <w:bottom w:val="single" w:color="000000" w:sz="4" w:space="0"/>
              <w:right w:val="single" w:color="auto" w:sz="4" w:space="0"/>
            </w:tcBorders>
            <w:shd w:val="clear" w:color="auto" w:fill="auto"/>
          </w:tcPr>
          <w:p>
            <w:pPr>
              <w:pStyle w:val="ConsPlusNormal"/>
              <w:jc w:val="center"/>
            </w:pPr>
            <w:r>
              <w:t xml:space="preserve">20,80</w:t>
            </w:r>
          </w:p>
        </w:tc>
        <w:tc>
          <w:tcPr>
            <w:tcW w:w="1028" w:type="dxa"/>
            <w:tcBorders>
              <w:top w:val="single" w:color="auto" w:sz="4" w:space="0"/>
              <w:left w:val="single" w:color="auto" w:sz="4" w:space="0"/>
              <w:bottom w:val="single" w:color="000000" w:sz="4" w:space="0"/>
              <w:right w:val="single" w:color="000000" w:sz="4" w:space="0"/>
            </w:tcBorders>
            <w:shd w:val="clear" w:color="auto" w:fill="auto"/>
          </w:tcPr>
          <w:p>
            <w:pPr>
              <w:pStyle w:val="ConsPlusNormal"/>
              <w:jc w:val="center"/>
            </w:pPr>
            <w:r>
              <w:t xml:space="preserve">20,70</w:t>
            </w:r>
          </w:p>
        </w:tc>
      </w:tr>
      <w:tr>
        <w:trPr>
          <w:trHeight w:val="807"/>
        </w:trPr>
        <w:tc>
          <w:tcPr>
            <w:tcW w:w="56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19.</w:t>
            </w:r>
          </w:p>
        </w:tc>
        <w:tc>
          <w:tcPr>
            <w:tcW w:w="5387" w:type="dxa"/>
            <w:tcBorders>
              <w:top w:val="single" w:color="000000" w:sz="4" w:space="0"/>
              <w:left w:val="single" w:color="000000" w:sz="4" w:space="0"/>
              <w:bottom w:val="single" w:color="000000" w:sz="4" w:space="0"/>
            </w:tcBorders>
            <w:shd w:val="clear" w:color="auto" w:fill="auto"/>
          </w:tcPr>
          <w:p>
            <w:pPr>
              <w:pStyle w:val="ConsPlusNormal"/>
            </w:pPr>
            <w:r>
              <w:t xml:space="preserve">Удельный расход электрической энергии, используемой для передачи (транспортировки) воды в системах водоснабжения (на 1 куб. м)</w:t>
            </w:r>
          </w:p>
        </w:tc>
        <w:tc>
          <w:tcPr>
            <w:tcW w:w="1984"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кВт</w:t>
            </w:r>
            <w:r>
              <w:t xml:space="preserve">.ч</w:t>
            </w:r>
            <w:r>
              <w:t xml:space="preserve">./куб. м</w:t>
            </w:r>
          </w:p>
        </w:tc>
        <w:tc>
          <w:tcPr>
            <w:tcW w:w="10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3,37</w:t>
            </w:r>
          </w:p>
        </w:tc>
        <w:tc>
          <w:tcPr>
            <w:tcW w:w="1028" w:type="dxa"/>
            <w:tcBorders>
              <w:top w:val="single" w:color="000000" w:sz="4" w:space="0"/>
              <w:left w:val="single" w:color="auto" w:sz="4" w:space="0"/>
              <w:bottom w:val="single" w:color="000000" w:sz="4" w:space="0"/>
            </w:tcBorders>
            <w:shd w:val="clear" w:color="auto" w:fill="auto"/>
          </w:tcPr>
          <w:p>
            <w:pPr>
              <w:pStyle w:val="ConsPlusNormal"/>
              <w:jc w:val="center"/>
            </w:pPr>
            <w:r>
              <w:t xml:space="preserve">3,37</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3,37</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3,36</w:t>
            </w:r>
          </w:p>
        </w:tc>
        <w:tc>
          <w:tcPr>
            <w:tcW w:w="102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3,36</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3,35</w:t>
            </w:r>
          </w:p>
        </w:tc>
        <w:tc>
          <w:tcPr>
            <w:tcW w:w="1028"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3,35</w:t>
            </w:r>
          </w:p>
        </w:tc>
        <w:tc>
          <w:tcPr>
            <w:tcW w:w="1028" w:type="dxa"/>
            <w:tcBorders>
              <w:top w:val="single" w:color="000000" w:sz="4" w:space="0"/>
              <w:left w:val="single" w:color="auto" w:sz="4" w:space="0"/>
              <w:bottom w:val="single" w:color="000000" w:sz="4" w:space="0"/>
              <w:right w:val="single" w:color="000000" w:sz="4" w:space="0"/>
            </w:tcBorders>
            <w:shd w:val="clear" w:color="auto" w:fill="auto"/>
          </w:tcPr>
          <w:p>
            <w:pPr>
              <w:pStyle w:val="ConsPlusNormal"/>
              <w:jc w:val="center"/>
            </w:pPr>
            <w:r>
              <w:t xml:space="preserve">3,35</w:t>
            </w:r>
          </w:p>
        </w:tc>
      </w:tr>
      <w:tr>
        <w:trPr>
          <w:trHeight w:val="720"/>
        </w:trPr>
        <w:tc>
          <w:tcPr>
            <w:tcW w:w="567" w:type="dxa"/>
            <w:tcBorders>
              <w:top w:val="single" w:color="auto" w:sz="4" w:space="0"/>
              <w:left w:val="single" w:color="000000" w:sz="4" w:space="0"/>
              <w:bottom w:val="single" w:color="000000" w:sz="4" w:space="0"/>
            </w:tcBorders>
            <w:shd w:val="clear" w:color="auto" w:fill="auto"/>
          </w:tcPr>
          <w:p>
            <w:pPr>
              <w:pStyle w:val="ConsPlusNormal"/>
              <w:jc w:val="center"/>
            </w:pPr>
            <w:r>
              <w:t xml:space="preserve">20.</w:t>
            </w:r>
          </w:p>
        </w:tc>
        <w:tc>
          <w:tcPr>
            <w:tcW w:w="5387" w:type="dxa"/>
            <w:tcBorders>
              <w:top w:val="single" w:color="auto" w:sz="4" w:space="0"/>
              <w:left w:val="single" w:color="000000" w:sz="4" w:space="0"/>
              <w:bottom w:val="single" w:color="000000" w:sz="4" w:space="0"/>
            </w:tcBorders>
            <w:shd w:val="clear" w:color="auto" w:fill="auto"/>
          </w:tcPr>
          <w:p>
            <w:pPr>
              <w:pStyle w:val="ConsPlusNormal"/>
            </w:pPr>
            <w:r>
              <w:t xml:space="preserve">Удельный расход электрической энергии, используемой в системах водоотведения (на            1 куб. м)</w:t>
            </w:r>
          </w:p>
        </w:tc>
        <w:tc>
          <w:tcPr>
            <w:tcW w:w="1984" w:type="dxa"/>
            <w:tcBorders>
              <w:top w:val="single" w:color="auto" w:sz="4" w:space="0"/>
              <w:left w:val="single" w:color="000000" w:sz="4" w:space="0"/>
              <w:bottom w:val="single" w:color="000000" w:sz="4" w:space="0"/>
            </w:tcBorders>
            <w:shd w:val="clear" w:color="auto" w:fill="auto"/>
          </w:tcPr>
          <w:p>
            <w:pPr>
              <w:pStyle w:val="ConsPlusNormal"/>
              <w:jc w:val="center"/>
            </w:pPr>
            <w:r>
              <w:t xml:space="preserve">кВт</w:t>
            </w:r>
            <w:r>
              <w:t xml:space="preserve">.ч</w:t>
            </w:r>
            <w:r>
              <w:t xml:space="preserve">./куб. м</w:t>
            </w:r>
          </w:p>
        </w:tc>
        <w:tc>
          <w:tcPr>
            <w:tcW w:w="1027" w:type="dxa"/>
            <w:tcBorders>
              <w:top w:val="single" w:color="auto" w:sz="4" w:space="0"/>
              <w:left w:val="single" w:color="000000" w:sz="4" w:space="0"/>
              <w:bottom w:val="single" w:color="000000" w:sz="4" w:space="0"/>
              <w:right w:val="single" w:color="auto" w:sz="4" w:space="0"/>
            </w:tcBorders>
            <w:shd w:val="clear" w:color="auto" w:fill="auto"/>
          </w:tcPr>
          <w:p>
            <w:pPr>
              <w:pStyle w:val="ConsPlusNormal"/>
              <w:jc w:val="center"/>
            </w:pPr>
            <w:r>
              <w:t xml:space="preserve">0,659</w:t>
            </w:r>
          </w:p>
        </w:tc>
        <w:tc>
          <w:tcPr>
            <w:tcW w:w="1028" w:type="dxa"/>
            <w:tcBorders>
              <w:top w:val="single" w:color="auto" w:sz="4" w:space="0"/>
              <w:left w:val="single" w:color="auto" w:sz="4" w:space="0"/>
              <w:bottom w:val="single" w:color="000000" w:sz="4" w:space="0"/>
            </w:tcBorders>
            <w:shd w:val="clear" w:color="auto" w:fill="auto"/>
          </w:tcPr>
          <w:p>
            <w:pPr>
              <w:pStyle w:val="ConsPlusNormal"/>
              <w:jc w:val="center"/>
            </w:pPr>
            <w:r>
              <w:t xml:space="preserve">0,659</w:t>
            </w:r>
          </w:p>
        </w:tc>
        <w:tc>
          <w:tcPr>
            <w:tcW w:w="1028" w:type="dxa"/>
            <w:tcBorders>
              <w:top w:val="single" w:color="auto" w:sz="4" w:space="0"/>
              <w:left w:val="single" w:color="000000" w:sz="4" w:space="0"/>
              <w:bottom w:val="single" w:color="000000" w:sz="4" w:space="0"/>
            </w:tcBorders>
            <w:shd w:val="clear" w:color="auto" w:fill="auto"/>
          </w:tcPr>
          <w:p>
            <w:pPr>
              <w:pStyle w:val="ConsPlusNormal"/>
              <w:jc w:val="center"/>
            </w:pPr>
            <w:r>
              <w:t xml:space="preserve">0,659</w:t>
            </w:r>
          </w:p>
        </w:tc>
        <w:tc>
          <w:tcPr>
            <w:tcW w:w="1028" w:type="dxa"/>
            <w:tcBorders>
              <w:top w:val="single" w:color="auto" w:sz="4" w:space="0"/>
              <w:left w:val="single" w:color="000000" w:sz="4" w:space="0"/>
              <w:bottom w:val="single" w:color="000000" w:sz="4" w:space="0"/>
            </w:tcBorders>
            <w:shd w:val="clear" w:color="auto" w:fill="auto"/>
          </w:tcPr>
          <w:p>
            <w:pPr>
              <w:pStyle w:val="ConsPlusNormal"/>
              <w:jc w:val="center"/>
            </w:pPr>
            <w:r>
              <w:t xml:space="preserve">0,659</w:t>
            </w:r>
          </w:p>
        </w:tc>
        <w:tc>
          <w:tcPr>
            <w:tcW w:w="1027" w:type="dxa"/>
            <w:tcBorders>
              <w:top w:val="single" w:color="auto" w:sz="4" w:space="0"/>
              <w:left w:val="single" w:color="000000" w:sz="4" w:space="0"/>
              <w:bottom w:val="single" w:color="000000" w:sz="4" w:space="0"/>
            </w:tcBorders>
            <w:shd w:val="clear" w:color="auto" w:fill="auto"/>
          </w:tcPr>
          <w:p>
            <w:pPr>
              <w:pStyle w:val="ConsPlusNormal"/>
              <w:jc w:val="center"/>
            </w:pPr>
            <w:r>
              <w:t xml:space="preserve">0,659</w:t>
            </w:r>
          </w:p>
        </w:tc>
        <w:tc>
          <w:tcPr>
            <w:tcW w:w="1028" w:type="dxa"/>
            <w:tcBorders>
              <w:top w:val="single" w:color="auto" w:sz="4" w:space="0"/>
              <w:left w:val="single" w:color="000000" w:sz="4" w:space="0"/>
              <w:bottom w:val="single" w:color="000000" w:sz="4" w:space="0"/>
            </w:tcBorders>
            <w:shd w:val="clear" w:color="auto" w:fill="auto"/>
          </w:tcPr>
          <w:p>
            <w:pPr>
              <w:pStyle w:val="ConsPlusNormal"/>
              <w:jc w:val="center"/>
            </w:pPr>
            <w:r>
              <w:t xml:space="preserve">0,659</w:t>
            </w:r>
          </w:p>
        </w:tc>
        <w:tc>
          <w:tcPr>
            <w:tcW w:w="1028" w:type="dxa"/>
            <w:tcBorders>
              <w:top w:val="single" w:color="auto" w:sz="4" w:space="0"/>
              <w:left w:val="single" w:color="000000" w:sz="4" w:space="0"/>
              <w:bottom w:val="single" w:color="000000" w:sz="4" w:space="0"/>
              <w:right w:val="single" w:color="auto" w:sz="4" w:space="0"/>
            </w:tcBorders>
            <w:shd w:val="clear" w:color="auto" w:fill="auto"/>
          </w:tcPr>
          <w:p>
            <w:pPr>
              <w:pStyle w:val="ConsPlusNormal"/>
              <w:jc w:val="center"/>
            </w:pPr>
            <w:r>
              <w:t xml:space="preserve">0,659</w:t>
            </w:r>
          </w:p>
        </w:tc>
        <w:tc>
          <w:tcPr>
            <w:tcW w:w="1028" w:type="dxa"/>
            <w:tcBorders>
              <w:top w:val="single" w:color="auto" w:sz="4" w:space="0"/>
              <w:left w:val="single" w:color="auto" w:sz="4" w:space="0"/>
              <w:bottom w:val="single" w:color="000000" w:sz="4" w:space="0"/>
              <w:right w:val="single" w:color="000000" w:sz="4" w:space="0"/>
            </w:tcBorders>
            <w:shd w:val="clear" w:color="auto" w:fill="auto"/>
          </w:tcPr>
          <w:p>
            <w:pPr>
              <w:pStyle w:val="ConsPlusNormal"/>
              <w:jc w:val="center"/>
            </w:pPr>
            <w:r>
              <w:t xml:space="preserve">0,659</w:t>
            </w:r>
          </w:p>
        </w:tc>
      </w:tr>
      <w:tr>
        <w:tc>
          <w:tcPr>
            <w:tcW w:w="56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21.</w:t>
            </w:r>
          </w:p>
        </w:tc>
        <w:tc>
          <w:tcPr>
            <w:tcW w:w="5387" w:type="dxa"/>
            <w:tcBorders>
              <w:top w:val="single" w:color="000000" w:sz="4" w:space="0"/>
              <w:left w:val="single" w:color="000000" w:sz="4" w:space="0"/>
              <w:bottom w:val="single" w:color="000000" w:sz="4" w:space="0"/>
            </w:tcBorders>
            <w:shd w:val="clear" w:color="auto" w:fill="auto"/>
          </w:tcPr>
          <w:p>
            <w:pPr>
              <w:pStyle w:val="ConsPlusNormal"/>
            </w:pPr>
            <w:r>
              <w:t xml:space="preserve">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w:t>
            </w:r>
          </w:p>
        </w:tc>
        <w:tc>
          <w:tcPr>
            <w:tcW w:w="1984"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кВт</w:t>
            </w:r>
            <w:r>
              <w:t xml:space="preserve">.ч</w:t>
            </w:r>
            <w:r>
              <w:t xml:space="preserve">./кв. м</w:t>
            </w:r>
          </w:p>
        </w:tc>
        <w:tc>
          <w:tcPr>
            <w:tcW w:w="10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0,72</w:t>
            </w:r>
          </w:p>
        </w:tc>
        <w:tc>
          <w:tcPr>
            <w:tcW w:w="1028" w:type="dxa"/>
            <w:tcBorders>
              <w:top w:val="single" w:color="000000" w:sz="4" w:space="0"/>
              <w:left w:val="single" w:color="auto" w:sz="4" w:space="0"/>
              <w:bottom w:val="single" w:color="000000" w:sz="4" w:space="0"/>
            </w:tcBorders>
            <w:shd w:val="clear" w:color="auto" w:fill="auto"/>
          </w:tcPr>
          <w:p>
            <w:pPr>
              <w:pStyle w:val="ConsPlusNormal"/>
              <w:jc w:val="center"/>
            </w:pPr>
            <w:r>
              <w:t xml:space="preserve">0,72</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0,71</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0,71</w:t>
            </w:r>
          </w:p>
        </w:tc>
        <w:tc>
          <w:tcPr>
            <w:tcW w:w="1027"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0,70</w:t>
            </w:r>
          </w:p>
        </w:tc>
        <w:tc>
          <w:tcPr>
            <w:tcW w:w="1028"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0,70</w:t>
            </w:r>
          </w:p>
        </w:tc>
        <w:tc>
          <w:tcPr>
            <w:tcW w:w="1028"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0,69</w:t>
            </w:r>
          </w:p>
        </w:tc>
        <w:tc>
          <w:tcPr>
            <w:tcW w:w="1028" w:type="dxa"/>
            <w:tcBorders>
              <w:top w:val="single" w:color="000000" w:sz="4" w:space="0"/>
              <w:left w:val="single" w:color="auto" w:sz="4" w:space="0"/>
              <w:bottom w:val="single" w:color="000000" w:sz="4" w:space="0"/>
              <w:right w:val="single" w:color="000000" w:sz="4" w:space="0"/>
            </w:tcBorders>
            <w:shd w:val="clear" w:color="auto" w:fill="auto"/>
          </w:tcPr>
          <w:p>
            <w:pPr>
              <w:pStyle w:val="ConsPlusNormal"/>
              <w:jc w:val="center"/>
            </w:pPr>
            <w:r>
              <w:t xml:space="preserve">0,68</w:t>
            </w:r>
          </w:p>
        </w:tc>
      </w:tr>
    </w:tbl>
    <w:p>
      <w:pPr>
        <w:pStyle w:val="ConsPlusNormal"/>
        <w:sectPr>
          <w:pgSz w:w="16838" w:h="11906" w:orient="landscape"/>
          <w:pgMar w:top="1124" w:right="1440" w:bottom="567" w:left="1440" w:header="0" w:footer="0" w:gutter="0"/>
          <w:pgNumType w:start="1"/>
          <w:cols w:space="720"/>
          <w:docGrid w:linePitch="360"/>
          <w:titlePg/>
        </w:sectPr>
      </w:pPr>
    </w:p>
    <w:tbl>
      <w:tblPr>
        <w:tblpPr w:horzAnchor="page" w:tblpX="9586" w:vertAnchor="text" w:tblpY="87" w:leftFromText="180" w:rightFromText="180"/>
        <w:tblW w:w="0" w:type="auto"/>
        <w:tblLook w:val="0000" w:firstRow="0" w:lastRow="0" w:firstColumn="0" w:lastColumn="0" w:noHBand="0" w:noVBand="0"/>
      </w:tblPr>
      <w:tblGrid>
        <w:gridCol w:w="6345"/>
      </w:tblGrid>
      <w:tr>
        <w:trPr>
          <w:trHeight w:val="1053"/>
        </w:trPr>
        <w:tc>
          <w:tcPr>
            <w:tcW w:w="6345" w:type="dxa"/>
          </w:tcPr>
          <w:p>
            <w:pPr>
              <w:pStyle w:val="ConsPlusNormal"/>
              <w:spacing w:line="240" w:lineRule="exact"/>
              <w:jc w:val="center"/>
              <w:rPr>
                <w:sz w:val="28"/>
                <w:szCs w:val="28"/>
              </w:rPr>
            </w:pPr>
          </w:p>
          <w:p>
            <w:pPr>
              <w:pStyle w:val="ConsPlusNormal"/>
              <w:spacing w:line="240" w:lineRule="exact"/>
              <w:rPr>
                <w:sz w:val="28"/>
                <w:szCs w:val="28"/>
              </w:rPr>
            </w:pPr>
            <w:r>
              <w:rPr>
                <w:sz w:val="28"/>
                <w:szCs w:val="28"/>
              </w:rPr>
              <w:t xml:space="preserve">Приложение 3 </w:t>
            </w:r>
          </w:p>
          <w:p>
            <w:pPr>
              <w:pStyle w:val="ConsPlusNormal"/>
              <w:spacing w:line="240" w:lineRule="exact"/>
              <w:rPr>
                <w:sz w:val="28"/>
                <w:szCs w:val="28"/>
              </w:rPr>
            </w:pPr>
          </w:p>
          <w:p>
            <w:pPr>
              <w:pStyle w:val="ConsPlusNormal"/>
              <w:spacing w:line="240" w:lineRule="exact"/>
              <w:rPr>
                <w:sz w:val="28"/>
                <w:szCs w:val="28"/>
              </w:rPr>
            </w:pPr>
            <w:r>
              <w:rPr>
                <w:sz w:val="28"/>
                <w:szCs w:val="28"/>
              </w:rPr>
              <w:t xml:space="preserve">к </w:t>
            </w:r>
            <w:r>
              <w:rPr>
                <w:sz w:val="28"/>
                <w:szCs w:val="28"/>
              </w:rPr>
              <w:t xml:space="preserve">муниципальной программе</w:t>
            </w:r>
          </w:p>
          <w:p>
            <w:pPr>
              <w:pStyle w:val="ConsPlusNormal"/>
              <w:spacing w:line="240" w:lineRule="exact"/>
              <w:rPr>
                <w:sz w:val="28"/>
                <w:szCs w:val="28"/>
              </w:rPr>
            </w:pPr>
            <w:r>
              <w:rPr>
                <w:sz w:val="28"/>
                <w:szCs w:val="28"/>
              </w:rPr>
              <w:t xml:space="preserve">«Энергосбережение и повышение</w:t>
            </w:r>
            <w:r>
              <w:rPr>
                <w:sz w:val="28"/>
                <w:szCs w:val="28"/>
              </w:rPr>
              <w:t xml:space="preserve"> </w:t>
            </w:r>
            <w:r>
              <w:rPr>
                <w:sz w:val="28"/>
                <w:szCs w:val="28"/>
              </w:rPr>
              <w:t xml:space="preserve">энергетической эффективности</w:t>
            </w:r>
            <w:r>
              <w:rPr>
                <w:sz w:val="28"/>
                <w:szCs w:val="28"/>
              </w:rPr>
              <w:t xml:space="preserve"> </w:t>
            </w:r>
            <w:r>
              <w:rPr>
                <w:sz w:val="28"/>
                <w:szCs w:val="28"/>
              </w:rPr>
              <w:t xml:space="preserve">в городе Ставрополе»</w:t>
            </w:r>
          </w:p>
          <w:p>
            <w:pPr>
              <w:pStyle w:val="ConsPlusNormal"/>
              <w:spacing w:line="240" w:lineRule="exact"/>
              <w:jc w:val="center"/>
              <w:rPr>
                <w:sz w:val="28"/>
                <w:szCs w:val="28"/>
              </w:rPr>
            </w:pPr>
          </w:p>
        </w:tc>
      </w:tr>
    </w:tbl>
    <w:p>
      <w:pPr>
        <w:pStyle w:val="ConsPlusTitle"/>
        <w:spacing w:line="240" w:lineRule="exact"/>
        <w:rPr>
          <w:rFonts w:ascii="Times New Roman" w:hAnsi="Times New Roman" w:cs="Times New Roman"/>
          <w:b w:val="0"/>
          <w:bCs w:val="0"/>
          <w:sz w:val="28"/>
          <w:szCs w:val="28"/>
        </w:rPr>
      </w:pPr>
      <w:bookmarkStart w:id="8" w:name="Par2957"/>
      <w:bookmarkEnd w:id="8"/>
    </w:p>
    <w:p>
      <w:pPr>
        <w:pStyle w:val="ConsPlusTitle"/>
        <w:spacing w:line="240" w:lineRule="exact"/>
        <w:rPr>
          <w:rFonts w:ascii="Times New Roman" w:hAnsi="Times New Roman" w:cs="Times New Roman"/>
          <w:b w:val="0"/>
          <w:bCs w:val="0"/>
          <w:sz w:val="28"/>
          <w:szCs w:val="28"/>
        </w:rPr>
      </w:pPr>
    </w:p>
    <w:p>
      <w:pPr>
        <w:pStyle w:val="ConsPlusTitle"/>
        <w:spacing w:line="240" w:lineRule="exact"/>
        <w:rPr>
          <w:rFonts w:ascii="Times New Roman" w:hAnsi="Times New Roman" w:cs="Times New Roman"/>
          <w:b w:val="0"/>
          <w:bCs w:val="0"/>
          <w:sz w:val="28"/>
          <w:szCs w:val="28"/>
        </w:rPr>
      </w:pPr>
    </w:p>
    <w:p>
      <w:pPr>
        <w:pStyle w:val="ConsPlusTitle"/>
        <w:spacing w:line="240" w:lineRule="exact"/>
        <w:rPr>
          <w:rFonts w:ascii="Times New Roman" w:hAnsi="Times New Roman" w:cs="Times New Roman"/>
          <w:b w:val="0"/>
          <w:bCs w:val="0"/>
          <w:sz w:val="28"/>
          <w:szCs w:val="28"/>
        </w:rPr>
      </w:pPr>
    </w:p>
    <w:p>
      <w:pPr>
        <w:pStyle w:val="ConsPlusTitle"/>
        <w:spacing w:line="240" w:lineRule="exact"/>
        <w:rPr>
          <w:rFonts w:ascii="Times New Roman" w:hAnsi="Times New Roman" w:cs="Times New Roman"/>
          <w:b w:val="0"/>
          <w:bCs w:val="0"/>
          <w:sz w:val="28"/>
          <w:szCs w:val="28"/>
        </w:rPr>
      </w:pPr>
    </w:p>
    <w:p>
      <w:pPr>
        <w:pStyle w:val="ConsPlusTitle"/>
        <w:spacing w:line="240" w:lineRule="exact"/>
        <w:rPr>
          <w:rFonts w:ascii="Times New Roman" w:hAnsi="Times New Roman" w:cs="Times New Roman"/>
          <w:b w:val="0"/>
          <w:bCs w:val="0"/>
          <w:sz w:val="28"/>
          <w:szCs w:val="28"/>
        </w:rPr>
      </w:pPr>
    </w:p>
    <w:p>
      <w:pPr>
        <w:pStyle w:val="ConsPlusTitle"/>
        <w:spacing w:line="240" w:lineRule="exact"/>
        <w:rPr>
          <w:rFonts w:ascii="Times New Roman" w:hAnsi="Times New Roman" w:cs="Times New Roman"/>
          <w:b w:val="0"/>
          <w:bCs w:val="0"/>
          <w:sz w:val="28"/>
          <w:szCs w:val="28"/>
        </w:rPr>
      </w:pPr>
    </w:p>
    <w:p>
      <w:pPr>
        <w:pStyle w:val="ConsPlusTitle"/>
        <w:tabs>
          <w:tab w:val="center" w:pos="3119"/>
        </w:tabs>
        <w:spacing w:line="240" w:lineRule="exact"/>
        <w:jc w:val="center"/>
        <w:rPr>
          <w:b w:val="0"/>
        </w:rPr>
      </w:pPr>
      <w:r>
        <w:rPr>
          <w:rFonts w:ascii="Times New Roman" w:hAnsi="Times New Roman"/>
          <w:b w:val="0"/>
        </w:rPr>
        <w:t xml:space="preserve">                                                                                                 </w:t>
      </w:r>
      <w:r>
        <w:rPr>
          <w:rFonts w:ascii="Times New Roman" w:hAnsi="Times New Roman"/>
          <w:b w:val="0"/>
        </w:rPr>
        <w:t xml:space="preserve">СВЕДЕНИЯ</w:t>
      </w:r>
    </w:p>
    <w:p>
      <w:pPr>
        <w:pStyle w:val="ConsPlusTitle"/>
        <w:spacing w:line="240" w:lineRule="exact"/>
        <w:jc w:val="center"/>
        <w:rPr>
          <w:b w:val="0"/>
        </w:rPr>
      </w:pPr>
      <w:r>
        <w:rPr>
          <w:rFonts w:ascii="Times New Roman" w:hAnsi="Times New Roman"/>
          <w:b w:val="0"/>
        </w:rPr>
        <w:t xml:space="preserve">о весовых коэффициентах, присвоенных цели и задачам муниципальной программы «Энергосбережение и повышение</w:t>
      </w:r>
      <w:r>
        <w:rPr>
          <w:rFonts w:ascii="Times New Roman" w:hAnsi="Times New Roman"/>
          <w:b w:val="0"/>
        </w:rPr>
        <w:t xml:space="preserve"> </w:t>
      </w:r>
      <w:r>
        <w:rPr>
          <w:rFonts w:ascii="Times New Roman" w:hAnsi="Times New Roman"/>
          <w:b w:val="0"/>
        </w:rPr>
        <w:t xml:space="preserve">энергетической эффективности в городе Ставрополе»</w:t>
      </w:r>
    </w:p>
    <w:tbl>
      <w:tblPr>
        <w:tblpPr w:horzAnchor="margin" w:tblpXSpec="center" w:vertAnchor="text" w:tblpY="173" w:leftFromText="180" w:rightFromText="180"/>
        <w:tblW w:w="15938" w:type="dxa"/>
        <w:tblLayout w:type="fixed"/>
        <w:tblCellMar>
          <w:left w:w="62" w:type="dxa"/>
          <w:top w:w="102" w:type="dxa"/>
          <w:right w:w="62" w:type="dxa"/>
          <w:bottom w:w="102" w:type="dxa"/>
        </w:tblCellMar>
        <w:tblLook w:val="0000" w:firstRow="0" w:lastRow="0" w:firstColumn="0" w:lastColumn="0" w:noHBand="0" w:noVBand="0"/>
      </w:tblPr>
      <w:tblGrid>
        <w:gridCol w:w="629"/>
        <w:gridCol w:w="5547"/>
        <w:gridCol w:w="1627"/>
        <w:gridCol w:w="1627"/>
        <w:gridCol w:w="1627"/>
        <w:gridCol w:w="1627"/>
        <w:gridCol w:w="1627"/>
        <w:gridCol w:w="1627"/>
      </w:tblGrid>
      <w:tr>
        <w:tc>
          <w:tcPr>
            <w:tcW w:w="629" w:type="dxa"/>
            <w:vMerge w:val="restart"/>
            <w:tcBorders>
              <w:top w:val="single" w:color="000000" w:sz="4" w:space="0"/>
              <w:left w:val="single" w:color="000000" w:sz="4" w:space="0"/>
              <w:bottom w:val="single" w:color="000000" w:sz="4" w:space="0"/>
            </w:tcBorders>
            <w:shd w:val="clear" w:color="auto" w:fill="auto"/>
            <w:vAlign w:val="center"/>
          </w:tcPr>
          <w:p>
            <w:pPr>
              <w:pStyle w:val="ConsPlusNormal"/>
              <w:jc w:val="center"/>
            </w:pPr>
            <w:r>
              <w:t xml:space="preserve">№ </w:t>
            </w:r>
            <w:r>
              <w:t xml:space="preserve">п</w:t>
            </w:r>
            <w:r>
              <w:t xml:space="preserve">/</w:t>
            </w:r>
            <w:r>
              <w:t xml:space="preserve">п</w:t>
            </w:r>
          </w:p>
        </w:tc>
        <w:tc>
          <w:tcPr>
            <w:tcW w:w="5547" w:type="dxa"/>
            <w:vMerge w:val="restart"/>
            <w:tcBorders>
              <w:top w:val="single" w:color="000000" w:sz="4" w:space="0"/>
              <w:left w:val="single" w:color="000000" w:sz="4" w:space="0"/>
              <w:bottom w:val="single" w:color="000000" w:sz="4" w:space="0"/>
            </w:tcBorders>
            <w:shd w:val="clear" w:color="auto" w:fill="auto"/>
            <w:vAlign w:val="center"/>
          </w:tcPr>
          <w:p>
            <w:pPr>
              <w:pStyle w:val="ConsPlusNormal"/>
              <w:jc w:val="center"/>
            </w:pPr>
            <w:r>
              <w:t xml:space="preserve">Цель и задачи программы</w:t>
            </w:r>
          </w:p>
        </w:tc>
        <w:tc>
          <w:tcPr>
            <w:tcW w:w="976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ConsPlusNormal"/>
              <w:jc w:val="center"/>
            </w:pPr>
            <w:r>
              <w:t xml:space="preserve">Значения весовых коэффициентов, присвоенных цели и задачам программы, по годам</w:t>
            </w:r>
          </w:p>
        </w:tc>
      </w:tr>
      <w:tr>
        <w:tc>
          <w:tcPr>
            <w:tcW w:w="629" w:type="dxa"/>
            <w:vMerge w:val="continue"/>
            <w:tcBorders>
              <w:top w:val="single" w:color="000000" w:sz="4" w:space="0"/>
              <w:left w:val="single" w:color="000000" w:sz="4" w:space="0"/>
              <w:bottom w:val="single" w:color="000000" w:sz="4" w:space="0"/>
            </w:tcBorders>
            <w:shd w:val="clear" w:color="auto" w:fill="auto"/>
            <w:vAlign w:val="center"/>
          </w:tcPr>
          <w:p>
            <w:pPr>
              <w:pStyle w:val="ConsPlusNormal"/>
              <w:jc w:val="both"/>
            </w:pPr>
          </w:p>
        </w:tc>
        <w:tc>
          <w:tcPr>
            <w:tcW w:w="5547" w:type="dxa"/>
            <w:vMerge w:val="continue"/>
            <w:tcBorders>
              <w:top w:val="single" w:color="000000" w:sz="4" w:space="0"/>
              <w:left w:val="single" w:color="000000" w:sz="4" w:space="0"/>
              <w:bottom w:val="single" w:color="000000" w:sz="4" w:space="0"/>
            </w:tcBorders>
            <w:shd w:val="clear" w:color="auto" w:fill="auto"/>
            <w:vAlign w:val="center"/>
          </w:tcPr>
          <w:p>
            <w:pPr>
              <w:pStyle w:val="ConsPlusNormal"/>
              <w:jc w:val="both"/>
            </w:pPr>
          </w:p>
        </w:tc>
        <w:tc>
          <w:tcPr>
            <w:tcW w:w="1627" w:type="dxa"/>
            <w:tcBorders>
              <w:top w:val="single" w:color="000000" w:sz="4" w:space="0"/>
              <w:left w:val="single" w:color="000000" w:sz="4" w:space="0"/>
              <w:bottom w:val="single" w:color="000000" w:sz="4" w:space="0"/>
              <w:right w:val="single" w:color="auto" w:sz="4" w:space="0"/>
            </w:tcBorders>
            <w:shd w:val="clear" w:color="auto" w:fill="auto"/>
            <w:vAlign w:val="center"/>
          </w:tcPr>
          <w:p>
            <w:pPr>
              <w:pStyle w:val="ConsPlusNormal"/>
              <w:jc w:val="center"/>
            </w:pPr>
            <w:r>
              <w:t xml:space="preserve">2023</w:t>
            </w:r>
          </w:p>
        </w:tc>
        <w:tc>
          <w:tcPr>
            <w:tcW w:w="1627" w:type="dxa"/>
            <w:tcBorders>
              <w:top w:val="single" w:color="000000" w:sz="4" w:space="0"/>
              <w:left w:val="single" w:color="auto" w:sz="4" w:space="0"/>
              <w:bottom w:val="single" w:color="000000" w:sz="4" w:space="0"/>
            </w:tcBorders>
            <w:shd w:val="clear" w:color="auto" w:fill="auto"/>
            <w:vAlign w:val="center"/>
          </w:tcPr>
          <w:p>
            <w:pPr>
              <w:pStyle w:val="ConsPlusNormal"/>
              <w:jc w:val="center"/>
            </w:pPr>
            <w:r>
              <w:t xml:space="preserve">2024</w:t>
            </w:r>
          </w:p>
        </w:tc>
        <w:tc>
          <w:tcPr>
            <w:tcW w:w="1627" w:type="dxa"/>
            <w:tcBorders>
              <w:top w:val="single" w:color="000000" w:sz="4" w:space="0"/>
              <w:left w:val="single" w:color="000000" w:sz="4" w:space="0"/>
              <w:bottom w:val="single" w:color="000000" w:sz="4" w:space="0"/>
              <w:right w:val="single" w:color="auto" w:sz="4" w:space="0"/>
            </w:tcBorders>
            <w:shd w:val="clear" w:color="auto" w:fill="auto"/>
            <w:vAlign w:val="center"/>
          </w:tcPr>
          <w:p>
            <w:pPr>
              <w:pStyle w:val="ConsPlusNormal"/>
              <w:jc w:val="center"/>
            </w:pPr>
            <w:r>
              <w:t xml:space="preserve">2025</w:t>
            </w:r>
          </w:p>
        </w:tc>
        <w:tc>
          <w:tcPr>
            <w:tcW w:w="1627" w:type="dxa"/>
            <w:tcBorders>
              <w:top w:val="single" w:color="000000" w:sz="4" w:space="0"/>
              <w:left w:val="single" w:color="auto" w:sz="4" w:space="0"/>
              <w:bottom w:val="single" w:color="000000" w:sz="4" w:space="0"/>
            </w:tcBorders>
            <w:shd w:val="clear" w:color="auto" w:fill="auto"/>
            <w:vAlign w:val="center"/>
          </w:tcPr>
          <w:p>
            <w:pPr>
              <w:pStyle w:val="ConsPlusNormal"/>
              <w:jc w:val="center"/>
            </w:pPr>
            <w:r>
              <w:t xml:space="preserve">2026</w:t>
            </w:r>
          </w:p>
        </w:tc>
        <w:tc>
          <w:tcPr>
            <w:tcW w:w="1627" w:type="dxa"/>
            <w:tcBorders>
              <w:top w:val="single" w:color="000000" w:sz="4" w:space="0"/>
              <w:left w:val="single" w:color="000000" w:sz="4" w:space="0"/>
              <w:bottom w:val="single" w:color="000000" w:sz="4" w:space="0"/>
              <w:right w:val="single" w:color="auto" w:sz="4" w:space="0"/>
            </w:tcBorders>
            <w:shd w:val="clear" w:color="auto" w:fill="auto"/>
            <w:vAlign w:val="center"/>
          </w:tcPr>
          <w:p>
            <w:pPr>
              <w:pStyle w:val="ConsPlusNormal"/>
              <w:jc w:val="center"/>
            </w:pPr>
            <w:r>
              <w:t xml:space="preserve">2027</w:t>
            </w:r>
          </w:p>
        </w:tc>
        <w:tc>
          <w:tcPr>
            <w:tcW w:w="1627"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ConsPlusNormal"/>
              <w:jc w:val="center"/>
            </w:pPr>
            <w:r>
              <w:t xml:space="preserve">2028</w:t>
            </w:r>
          </w:p>
        </w:tc>
      </w:tr>
      <w:tr>
        <w:tc>
          <w:tcPr>
            <w:tcW w:w="629"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w:t>
            </w:r>
          </w:p>
        </w:tc>
        <w:tc>
          <w:tcPr>
            <w:tcW w:w="5547" w:type="dxa"/>
            <w:tcBorders>
              <w:top w:val="single" w:color="000000" w:sz="4" w:space="0"/>
              <w:left w:val="single" w:color="000000" w:sz="4" w:space="0"/>
              <w:bottom w:val="single" w:color="000000" w:sz="4" w:space="0"/>
            </w:tcBorders>
            <w:shd w:val="clear" w:color="auto" w:fill="auto"/>
          </w:tcPr>
          <w:p>
            <w:pPr>
              <w:pStyle w:val="ConsPlusNormal"/>
            </w:pPr>
            <w:r>
              <w:t xml:space="preserve">Цель: о</w:t>
            </w:r>
            <w:r>
              <w:t xml:space="preserve">беспечение эффективного использования топливно-энергетических ресурсов за счет реализации мероприятий по энергосбережению и повышению энергетической эффективности на территории города Ставрополя</w:t>
            </w:r>
          </w:p>
        </w:tc>
        <w:tc>
          <w:tcPr>
            <w:tcW w:w="16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1,0</w:t>
            </w:r>
          </w:p>
        </w:tc>
        <w:tc>
          <w:tcPr>
            <w:tcW w:w="1627" w:type="dxa"/>
            <w:tcBorders>
              <w:top w:val="single" w:color="000000" w:sz="4" w:space="0"/>
              <w:left w:val="single" w:color="auto" w:sz="4" w:space="0"/>
              <w:bottom w:val="single" w:color="000000" w:sz="4" w:space="0"/>
            </w:tcBorders>
            <w:shd w:val="clear" w:color="auto" w:fill="auto"/>
          </w:tcPr>
          <w:p>
            <w:pPr>
              <w:pStyle w:val="ConsPlusNormal"/>
              <w:jc w:val="center"/>
            </w:pPr>
            <w:r>
              <w:t xml:space="preserve">1,0</w:t>
            </w:r>
          </w:p>
        </w:tc>
        <w:tc>
          <w:tcPr>
            <w:tcW w:w="16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1,0</w:t>
            </w:r>
          </w:p>
        </w:tc>
        <w:tc>
          <w:tcPr>
            <w:tcW w:w="1627" w:type="dxa"/>
            <w:tcBorders>
              <w:top w:val="single" w:color="000000" w:sz="4" w:space="0"/>
              <w:left w:val="single" w:color="auto" w:sz="4" w:space="0"/>
              <w:bottom w:val="single" w:color="000000" w:sz="4" w:space="0"/>
            </w:tcBorders>
            <w:shd w:val="clear" w:color="auto" w:fill="auto"/>
          </w:tcPr>
          <w:p>
            <w:pPr>
              <w:pStyle w:val="ConsPlusNormal"/>
              <w:jc w:val="center"/>
            </w:pPr>
            <w:r>
              <w:t xml:space="preserve">1,0</w:t>
            </w:r>
          </w:p>
        </w:tc>
        <w:tc>
          <w:tcPr>
            <w:tcW w:w="16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1,0</w:t>
            </w:r>
          </w:p>
        </w:tc>
        <w:tc>
          <w:tcPr>
            <w:tcW w:w="1627" w:type="dxa"/>
            <w:tcBorders>
              <w:top w:val="single" w:color="000000" w:sz="4" w:space="0"/>
              <w:left w:val="single" w:color="auto" w:sz="4" w:space="0"/>
              <w:bottom w:val="single" w:color="000000" w:sz="4" w:space="0"/>
              <w:right w:val="single" w:color="000000" w:sz="4" w:space="0"/>
            </w:tcBorders>
            <w:shd w:val="clear" w:color="auto" w:fill="auto"/>
          </w:tcPr>
          <w:p>
            <w:pPr>
              <w:pStyle w:val="ConsPlusNormal"/>
              <w:jc w:val="center"/>
            </w:pPr>
            <w:r>
              <w:t xml:space="preserve">1,0</w:t>
            </w:r>
          </w:p>
        </w:tc>
      </w:tr>
      <w:tr>
        <w:tc>
          <w:tcPr>
            <w:tcW w:w="629"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1)</w:t>
            </w:r>
          </w:p>
        </w:tc>
        <w:tc>
          <w:tcPr>
            <w:tcW w:w="5547" w:type="dxa"/>
            <w:tcBorders>
              <w:top w:val="single" w:color="000000" w:sz="4" w:space="0"/>
              <w:left w:val="single" w:color="000000" w:sz="4" w:space="0"/>
              <w:bottom w:val="single" w:color="000000" w:sz="4" w:space="0"/>
            </w:tcBorders>
            <w:shd w:val="clear" w:color="auto" w:fill="auto"/>
          </w:tcPr>
          <w:p>
            <w:pPr>
              <w:pStyle w:val="ConsPlusNormal"/>
            </w:pPr>
            <w:r>
              <w:t xml:space="preserve">Задача 1: </w:t>
            </w:r>
            <w:r>
              <w:t xml:space="preserve">обеспечение учета объема потребляемых энергетических ресурсов</w:t>
            </w:r>
          </w:p>
        </w:tc>
        <w:tc>
          <w:tcPr>
            <w:tcW w:w="16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0,1</w:t>
            </w:r>
          </w:p>
        </w:tc>
        <w:tc>
          <w:tcPr>
            <w:tcW w:w="1627" w:type="dxa"/>
            <w:tcBorders>
              <w:top w:val="single" w:color="000000" w:sz="4" w:space="0"/>
              <w:left w:val="single" w:color="auto" w:sz="4" w:space="0"/>
              <w:bottom w:val="single" w:color="000000" w:sz="4" w:space="0"/>
            </w:tcBorders>
            <w:shd w:val="clear" w:color="auto" w:fill="auto"/>
          </w:tcPr>
          <w:p>
            <w:pPr>
              <w:pStyle w:val="ConsPlusNormal"/>
              <w:jc w:val="center"/>
            </w:pPr>
            <w:r>
              <w:t xml:space="preserve">0,1</w:t>
            </w:r>
          </w:p>
        </w:tc>
        <w:tc>
          <w:tcPr>
            <w:tcW w:w="16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0,1</w:t>
            </w:r>
          </w:p>
        </w:tc>
        <w:tc>
          <w:tcPr>
            <w:tcW w:w="1627" w:type="dxa"/>
            <w:tcBorders>
              <w:top w:val="single" w:color="000000" w:sz="4" w:space="0"/>
              <w:left w:val="single" w:color="auto" w:sz="4" w:space="0"/>
              <w:bottom w:val="single" w:color="000000" w:sz="4" w:space="0"/>
            </w:tcBorders>
            <w:shd w:val="clear" w:color="auto" w:fill="auto"/>
          </w:tcPr>
          <w:p>
            <w:pPr>
              <w:pStyle w:val="ConsPlusNormal"/>
              <w:jc w:val="center"/>
            </w:pPr>
            <w:r>
              <w:t xml:space="preserve">0,1</w:t>
            </w:r>
          </w:p>
        </w:tc>
        <w:tc>
          <w:tcPr>
            <w:tcW w:w="16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0,1</w:t>
            </w:r>
          </w:p>
        </w:tc>
        <w:tc>
          <w:tcPr>
            <w:tcW w:w="1627" w:type="dxa"/>
            <w:tcBorders>
              <w:top w:val="single" w:color="000000" w:sz="4" w:space="0"/>
              <w:left w:val="single" w:color="auto" w:sz="4" w:space="0"/>
              <w:bottom w:val="single" w:color="000000" w:sz="4" w:space="0"/>
              <w:right w:val="single" w:color="000000" w:sz="4" w:space="0"/>
            </w:tcBorders>
            <w:shd w:val="clear" w:color="auto" w:fill="auto"/>
          </w:tcPr>
          <w:p>
            <w:pPr>
              <w:pStyle w:val="ConsPlusNormal"/>
              <w:jc w:val="center"/>
            </w:pPr>
            <w:r>
              <w:t xml:space="preserve">0,1</w:t>
            </w:r>
          </w:p>
        </w:tc>
      </w:tr>
      <w:tr>
        <w:tc>
          <w:tcPr>
            <w:tcW w:w="629"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2)</w:t>
            </w:r>
          </w:p>
        </w:tc>
        <w:tc>
          <w:tcPr>
            <w:tcW w:w="5547" w:type="dxa"/>
            <w:tcBorders>
              <w:top w:val="single" w:color="000000" w:sz="4" w:space="0"/>
              <w:left w:val="single" w:color="000000" w:sz="4" w:space="0"/>
              <w:bottom w:val="single" w:color="000000" w:sz="4" w:space="0"/>
            </w:tcBorders>
            <w:shd w:val="clear" w:color="auto" w:fill="auto"/>
          </w:tcPr>
          <w:p>
            <w:pPr>
              <w:pStyle w:val="ConsPlusNormal"/>
            </w:pPr>
            <w:r>
              <w:t xml:space="preserve">Задача 2: </w:t>
            </w:r>
            <w:r>
              <w:t xml:space="preserve">снижение расходов бюджета города Ставрополя на оплату за потребленные энергетические ресурсы</w:t>
            </w:r>
          </w:p>
        </w:tc>
        <w:tc>
          <w:tcPr>
            <w:tcW w:w="16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0,1</w:t>
            </w:r>
          </w:p>
        </w:tc>
        <w:tc>
          <w:tcPr>
            <w:tcW w:w="1627" w:type="dxa"/>
            <w:tcBorders>
              <w:top w:val="single" w:color="000000" w:sz="4" w:space="0"/>
              <w:left w:val="single" w:color="auto" w:sz="4" w:space="0"/>
              <w:bottom w:val="single" w:color="000000" w:sz="4" w:space="0"/>
            </w:tcBorders>
            <w:shd w:val="clear" w:color="auto" w:fill="auto"/>
          </w:tcPr>
          <w:p>
            <w:pPr>
              <w:pStyle w:val="ConsPlusNormal"/>
              <w:jc w:val="center"/>
            </w:pPr>
            <w:r>
              <w:t xml:space="preserve">0,1</w:t>
            </w:r>
          </w:p>
        </w:tc>
        <w:tc>
          <w:tcPr>
            <w:tcW w:w="16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0,1</w:t>
            </w:r>
          </w:p>
        </w:tc>
        <w:tc>
          <w:tcPr>
            <w:tcW w:w="1627" w:type="dxa"/>
            <w:tcBorders>
              <w:top w:val="single" w:color="000000" w:sz="4" w:space="0"/>
              <w:left w:val="single" w:color="auto" w:sz="4" w:space="0"/>
              <w:bottom w:val="single" w:color="000000" w:sz="4" w:space="0"/>
            </w:tcBorders>
            <w:shd w:val="clear" w:color="auto" w:fill="auto"/>
          </w:tcPr>
          <w:p>
            <w:pPr>
              <w:pStyle w:val="ConsPlusNormal"/>
              <w:jc w:val="center"/>
            </w:pPr>
            <w:r>
              <w:t xml:space="preserve">0,1</w:t>
            </w:r>
          </w:p>
        </w:tc>
        <w:tc>
          <w:tcPr>
            <w:tcW w:w="16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0,1</w:t>
            </w:r>
          </w:p>
        </w:tc>
        <w:tc>
          <w:tcPr>
            <w:tcW w:w="1627" w:type="dxa"/>
            <w:tcBorders>
              <w:top w:val="single" w:color="000000" w:sz="4" w:space="0"/>
              <w:left w:val="single" w:color="auto" w:sz="4" w:space="0"/>
              <w:bottom w:val="single" w:color="000000" w:sz="4" w:space="0"/>
              <w:right w:val="single" w:color="000000" w:sz="4" w:space="0"/>
            </w:tcBorders>
            <w:shd w:val="clear" w:color="auto" w:fill="auto"/>
          </w:tcPr>
          <w:p>
            <w:pPr>
              <w:pStyle w:val="ConsPlusNormal"/>
              <w:jc w:val="center"/>
            </w:pPr>
            <w:r>
              <w:t xml:space="preserve">0,1</w:t>
            </w:r>
          </w:p>
        </w:tc>
      </w:tr>
      <w:tr>
        <w:tc>
          <w:tcPr>
            <w:tcW w:w="629"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3)</w:t>
            </w:r>
          </w:p>
        </w:tc>
        <w:tc>
          <w:tcPr>
            <w:tcW w:w="5547" w:type="dxa"/>
            <w:tcBorders>
              <w:top w:val="single" w:color="000000" w:sz="4" w:space="0"/>
              <w:left w:val="single" w:color="000000" w:sz="4" w:space="0"/>
              <w:bottom w:val="single" w:color="000000" w:sz="4" w:space="0"/>
            </w:tcBorders>
            <w:shd w:val="clear" w:color="auto" w:fill="auto"/>
          </w:tcPr>
          <w:p>
            <w:pPr>
              <w:pStyle w:val="ConsPlusNormal"/>
            </w:pPr>
            <w:r>
              <w:t xml:space="preserve">Задача 3: </w:t>
            </w:r>
            <w:r>
              <w:t xml:space="preserve">сокращение потерь энергетических ресурсов при их транспортировке</w:t>
            </w:r>
          </w:p>
        </w:tc>
        <w:tc>
          <w:tcPr>
            <w:tcW w:w="16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0,3</w:t>
            </w:r>
          </w:p>
        </w:tc>
        <w:tc>
          <w:tcPr>
            <w:tcW w:w="1627" w:type="dxa"/>
            <w:tcBorders>
              <w:top w:val="single" w:color="000000" w:sz="4" w:space="0"/>
              <w:left w:val="single" w:color="auto" w:sz="4" w:space="0"/>
              <w:bottom w:val="single" w:color="000000" w:sz="4" w:space="0"/>
            </w:tcBorders>
            <w:shd w:val="clear" w:color="auto" w:fill="auto"/>
          </w:tcPr>
          <w:p>
            <w:pPr>
              <w:pStyle w:val="ConsPlusNormal"/>
              <w:jc w:val="center"/>
            </w:pPr>
            <w:r>
              <w:t xml:space="preserve">0,3</w:t>
            </w:r>
          </w:p>
        </w:tc>
        <w:tc>
          <w:tcPr>
            <w:tcW w:w="16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0,3</w:t>
            </w:r>
          </w:p>
        </w:tc>
        <w:tc>
          <w:tcPr>
            <w:tcW w:w="1627" w:type="dxa"/>
            <w:tcBorders>
              <w:top w:val="single" w:color="000000" w:sz="4" w:space="0"/>
              <w:left w:val="single" w:color="auto" w:sz="4" w:space="0"/>
              <w:bottom w:val="single" w:color="000000" w:sz="4" w:space="0"/>
            </w:tcBorders>
            <w:shd w:val="clear" w:color="auto" w:fill="auto"/>
          </w:tcPr>
          <w:p>
            <w:pPr>
              <w:pStyle w:val="ConsPlusNormal"/>
              <w:jc w:val="center"/>
            </w:pPr>
            <w:r>
              <w:t xml:space="preserve">0,3</w:t>
            </w:r>
          </w:p>
        </w:tc>
        <w:tc>
          <w:tcPr>
            <w:tcW w:w="16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0,3</w:t>
            </w:r>
          </w:p>
        </w:tc>
        <w:tc>
          <w:tcPr>
            <w:tcW w:w="1627" w:type="dxa"/>
            <w:tcBorders>
              <w:top w:val="single" w:color="000000" w:sz="4" w:space="0"/>
              <w:left w:val="single" w:color="auto" w:sz="4" w:space="0"/>
              <w:bottom w:val="single" w:color="000000" w:sz="4" w:space="0"/>
              <w:right w:val="single" w:color="000000" w:sz="4" w:space="0"/>
            </w:tcBorders>
            <w:shd w:val="clear" w:color="auto" w:fill="auto"/>
          </w:tcPr>
          <w:p>
            <w:pPr>
              <w:pStyle w:val="ConsPlusNormal"/>
              <w:jc w:val="center"/>
            </w:pPr>
            <w:r>
              <w:t xml:space="preserve">0,3</w:t>
            </w:r>
          </w:p>
        </w:tc>
      </w:tr>
      <w:tr>
        <w:trPr>
          <w:trHeight w:val="1539"/>
        </w:trPr>
        <w:tc>
          <w:tcPr>
            <w:tcW w:w="629" w:type="dxa"/>
            <w:tcBorders>
              <w:top w:val="single" w:color="000000" w:sz="4" w:space="0"/>
              <w:left w:val="single" w:color="000000" w:sz="4" w:space="0"/>
              <w:bottom w:val="single" w:color="000000" w:sz="4" w:space="0"/>
            </w:tcBorders>
            <w:shd w:val="clear" w:color="auto" w:fill="auto"/>
          </w:tcPr>
          <w:p>
            <w:pPr>
              <w:pStyle w:val="ConsPlusNormal"/>
              <w:jc w:val="center"/>
            </w:pPr>
            <w:r>
              <w:t xml:space="preserve">4)</w:t>
            </w:r>
          </w:p>
        </w:tc>
        <w:tc>
          <w:tcPr>
            <w:tcW w:w="5547" w:type="dxa"/>
            <w:tcBorders>
              <w:top w:val="single" w:color="000000" w:sz="4" w:space="0"/>
              <w:left w:val="single" w:color="000000" w:sz="4" w:space="0"/>
              <w:bottom w:val="single" w:color="000000" w:sz="4" w:space="0"/>
            </w:tcBorders>
            <w:shd w:val="clear" w:color="auto" w:fill="auto"/>
          </w:tcPr>
          <w:p>
            <w:pPr>
              <w:pStyle w:val="ConsPlusNormal"/>
            </w:pPr>
            <w:r>
              <w:t xml:space="preserve">Задача 4: </w:t>
            </w:r>
            <w:r>
              <w:t xml:space="preserve">повышение эффективности энергопотребления путем внедрения современных энергосберегающих технологий и оборудования в бюджетном секторе, в жилищном фонде и системах коммунальной инфраструктуры</w:t>
            </w:r>
          </w:p>
        </w:tc>
        <w:tc>
          <w:tcPr>
            <w:tcW w:w="16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0,5</w:t>
            </w:r>
          </w:p>
        </w:tc>
        <w:tc>
          <w:tcPr>
            <w:tcW w:w="1627" w:type="dxa"/>
            <w:tcBorders>
              <w:top w:val="single" w:color="000000" w:sz="4" w:space="0"/>
              <w:left w:val="single" w:color="auto" w:sz="4" w:space="0"/>
              <w:bottom w:val="single" w:color="000000" w:sz="4" w:space="0"/>
            </w:tcBorders>
            <w:shd w:val="clear" w:color="auto" w:fill="auto"/>
          </w:tcPr>
          <w:p>
            <w:pPr>
              <w:pStyle w:val="ConsPlusNormal"/>
              <w:jc w:val="center"/>
            </w:pPr>
            <w:r>
              <w:t xml:space="preserve">0,5</w:t>
            </w:r>
          </w:p>
        </w:tc>
        <w:tc>
          <w:tcPr>
            <w:tcW w:w="16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0,5</w:t>
            </w:r>
          </w:p>
        </w:tc>
        <w:tc>
          <w:tcPr>
            <w:tcW w:w="1627" w:type="dxa"/>
            <w:tcBorders>
              <w:top w:val="single" w:color="000000" w:sz="4" w:space="0"/>
              <w:left w:val="single" w:color="auto" w:sz="4" w:space="0"/>
              <w:bottom w:val="single" w:color="000000" w:sz="4" w:space="0"/>
            </w:tcBorders>
            <w:shd w:val="clear" w:color="auto" w:fill="auto"/>
          </w:tcPr>
          <w:p>
            <w:pPr>
              <w:pStyle w:val="ConsPlusNormal"/>
              <w:jc w:val="center"/>
            </w:pPr>
            <w:r>
              <w:t xml:space="preserve">0,5</w:t>
            </w:r>
          </w:p>
        </w:tc>
        <w:tc>
          <w:tcPr>
            <w:tcW w:w="1627" w:type="dxa"/>
            <w:tcBorders>
              <w:top w:val="single" w:color="000000" w:sz="4" w:space="0"/>
              <w:left w:val="single" w:color="000000" w:sz="4" w:space="0"/>
              <w:bottom w:val="single" w:color="000000" w:sz="4" w:space="0"/>
              <w:right w:val="single" w:color="auto" w:sz="4" w:space="0"/>
            </w:tcBorders>
            <w:shd w:val="clear" w:color="auto" w:fill="auto"/>
          </w:tcPr>
          <w:p>
            <w:pPr>
              <w:pStyle w:val="ConsPlusNormal"/>
              <w:jc w:val="center"/>
            </w:pPr>
            <w:r>
              <w:t xml:space="preserve">0,5</w:t>
            </w:r>
          </w:p>
        </w:tc>
        <w:tc>
          <w:tcPr>
            <w:tcW w:w="1627" w:type="dxa"/>
            <w:tcBorders>
              <w:top w:val="single" w:color="000000" w:sz="4" w:space="0"/>
              <w:left w:val="single" w:color="auto" w:sz="4" w:space="0"/>
              <w:bottom w:val="single" w:color="000000" w:sz="4" w:space="0"/>
              <w:right w:val="single" w:color="000000" w:sz="4" w:space="0"/>
            </w:tcBorders>
            <w:shd w:val="clear" w:color="auto" w:fill="auto"/>
          </w:tcPr>
          <w:p>
            <w:pPr>
              <w:pStyle w:val="ConsPlusNormal"/>
              <w:jc w:val="center"/>
            </w:pPr>
            <w:r>
              <w:t xml:space="preserve">0,5</w:t>
            </w:r>
          </w:p>
        </w:tc>
      </w:tr>
    </w:tbl>
    <w:p>
      <w:pPr>
        <w:pStyle w:val="ConsPlusNormal"/>
        <w:tabs>
          <w:tab w:val="left" w:pos="480"/>
        </w:tabs>
        <w:spacing w:before="100" w:after="100"/>
        <w:jc w:val="both"/>
      </w:pPr>
    </w:p>
    <w:sectPr>
      <w:pgSz w:w="16838" w:h="11906" w:orient="landscape"/>
      <w:pgMar w:top="709" w:right="1440" w:bottom="567" w:left="1440" w:header="0" w:footer="0" w:gutter="0"/>
      <w:pgNumType w:start="1"/>
      <w:cols w:space="720"/>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Unicode MS">
    <w:panose1 w:val="020B0604020202020204"/>
  </w:font>
  <w:font w:name="Arial">
    <w:panose1 w:val="020B0604020202020204"/>
  </w:font>
  <w:font w:name="Courier New">
    <w:panose1 w:val="02070309020205020404"/>
  </w:font>
  <w:font w:name="Droid Sans Fallback">
    <w:panose1 w:val="020B0502000000000001"/>
  </w:font>
  <w:font w:name="Droid Sans Devanagari">
    <w:panose1 w:val="020B0606030804020204"/>
  </w:font>
  <w:font w:name="Liberation Sans">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id w:val="10637662"/>
      <w:docPartObj>
        <w:docPartGallery w:val="Page Numbers (Top of Page)"/>
        <w:docPartUnique w:val="true"/>
      </w:docPartObj>
    </w:sdtPr>
    <w:sdtContent>
      <w:p>
        <w:pPr>
          <w:pStyle w:val="aa"/>
          <w:jc w:val="cente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xml:space="preserve">4</w:t>
        </w:r>
        <w:r>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a"/>
      <w:jc w:val="center"/>
      <w:rPr>
        <w:rFonts w:ascii="Times New Roman" w:hAnsi="Times New Roman" w:cs="Times New Roman"/>
        <w:sz w:val="28"/>
        <w:szCs w:val="28"/>
      </w:rPr>
    </w:pPr>
  </w:p>
  <w:p>
    <w:pPr>
      <w:pStyle w:val="aa"/>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xml:space="preserve">4</w:t>
    </w:r>
    <w:r>
      <w:rPr>
        <w:rFonts w:ascii="Times New Roman" w:hAnsi="Times New Roman" w:cs="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spaceForUL w:val="true"/>
    <w:balanceSingleByteDoubleByteWidth w:val="true"/>
    <w:doNotLeaveBackslashAlone w:val="true"/>
    <w:ulTrailSpace w:val="true"/>
    <w:adjustLineHeightInTable w:val="true"/>
  </w:compat>
  <m:mathPr>
    <m:mathFont m:val="Cambria Math"/>
    <m:brkBin m:val="before"/>
    <m:brkBinSub m:val="--"/>
    <m:smallFrac m:val="tru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lang w:val="ru-RU" w:bidi="ar-SA" w:eastAsia="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pPr>
      <w:spacing w:after="200" w:line="276" w:lineRule="auto"/>
    </w:pPr>
    <w:rPr>
      <w:rFonts w:ascii="Calibri" w:hAnsi="Calibri" w:cs="Calibri"/>
      <w:sz w:val="22"/>
      <w:szCs w:val="22"/>
    </w:rPr>
  </w:style>
  <w:style w:type="paragraph" w:styleId="1">
    <w:name w:val="heading 1"/>
    <w:basedOn w:val="a"/>
    <w:next w:val="a"/>
    <w:link w:val="10"/>
    <w:qFormat/>
    <w:pPr>
      <w:keepNext/>
      <w:spacing w:after="0" w:line="240" w:lineRule="auto"/>
      <w:jc w:val="both"/>
      <w:outlineLvl w:val="0"/>
    </w:pPr>
    <w:rPr>
      <w:rFonts w:ascii="Times New Roman" w:hAnsi="Times New Roman" w:cs="Times New Roman"/>
      <w:sz w:val="28"/>
      <w:szCs w:val="20"/>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left w:w="108" w:type="dxa"/>
        <w:top w:w="0" w:type="dxa"/>
        <w:right w:w="108" w:type="dxa"/>
        <w:bottom w:w="0" w:type="dxa"/>
      </w:tblCellMar>
    </w:tblPr>
  </w:style>
  <w:style w:type="numbering" w:styleId="a2" w:default="1">
    <w:name w:val="No List"/>
    <w:uiPriority w:val="99"/>
    <w:semiHidden/>
    <w:unhideWhenUsed/>
  </w:style>
  <w:style w:type="character" w:styleId="11" w:customStyle="1">
    <w:name w:val="Основной шрифт абзаца1"/>
  </w:style>
  <w:style w:type="character" w:styleId="a3" w:customStyle="1">
    <w:name w:val="Верхний колонтитул Знак"/>
    <w:basedOn w:val="11"/>
    <w:uiPriority w:val="99"/>
    <w:rPr>
      <w:rFonts w:cs="Times New Roman"/>
    </w:rPr>
  </w:style>
  <w:style w:type="character" w:styleId="a4" w:customStyle="1">
    <w:name w:val="Нижний колонтитул Знак"/>
    <w:basedOn w:val="11"/>
    <w:uiPriority w:val="99"/>
    <w:rPr>
      <w:rFonts w:cs="Times New Roman"/>
    </w:rPr>
  </w:style>
  <w:style w:type="character" w:styleId="ListLabel1" w:customStyle="1">
    <w:name w:val="ListLabel 1"/>
    <w:qFormat/>
    <w:rPr>
      <w:color w:val="0000FF"/>
    </w:rPr>
  </w:style>
  <w:style w:type="character" w:styleId="a5">
    <w:name w:val="Hyperlink"/>
    <w:rPr>
      <w:color w:val="000080"/>
      <w:u w:val="single"/>
    </w:rPr>
  </w:style>
  <w:style w:type="paragraph" w:styleId="a6" w:customStyle="1">
    <w:name w:val="Заголовок"/>
    <w:basedOn w:val="a"/>
    <w:next w:val="a7"/>
    <w:pPr>
      <w:keepNext/>
      <w:spacing w:before="240" w:after="120"/>
    </w:pPr>
    <w:rPr>
      <w:rFonts w:ascii="Liberation Sans" w:hAnsi="Liberation Sans" w:cs="Droid Sans Devanagari" w:eastAsia="Droid Sans Fallback"/>
      <w:sz w:val="28"/>
      <w:szCs w:val="28"/>
    </w:rPr>
  </w:style>
  <w:style w:type="paragraph" w:styleId="a7">
    <w:name w:val="Body Text"/>
    <w:basedOn w:val="a"/>
    <w:pPr>
      <w:spacing w:after="140"/>
    </w:pPr>
  </w:style>
  <w:style w:type="paragraph" w:styleId="a8">
    <w:name w:val="List"/>
    <w:basedOn w:val="a7"/>
    <w:rPr>
      <w:rFonts w:cs="Droid Sans Devanagari"/>
    </w:rPr>
  </w:style>
  <w:style w:type="paragraph" w:styleId="a9">
    <w:name w:val="caption"/>
    <w:basedOn w:val="a"/>
    <w:qFormat/>
    <w:pPr>
      <w:suppressLineNumbers/>
      <w:spacing w:before="120" w:after="120"/>
    </w:pPr>
    <w:rPr>
      <w:rFonts w:cs="Droid Sans Devanagari"/>
      <w:i/>
      <w:iCs/>
      <w:sz w:val="24"/>
      <w:szCs w:val="24"/>
    </w:rPr>
  </w:style>
  <w:style w:type="paragraph" w:styleId="12" w:customStyle="1">
    <w:name w:val="Указатель1"/>
    <w:basedOn w:val="a"/>
    <w:pPr>
      <w:suppressLineNumbers/>
    </w:pPr>
    <w:rPr>
      <w:rFonts w:cs="Droid Sans Devanagari"/>
    </w:rPr>
  </w:style>
  <w:style w:type="paragraph" w:styleId="DocumentMap" w:customStyle="1">
    <w:name w:val="DocumentMap"/>
    <w:pPr>
      <w:spacing w:after="200" w:line="276" w:lineRule="auto"/>
    </w:pPr>
    <w:rPr>
      <w:rFonts w:ascii="Calibri" w:hAnsi="Calibri" w:cs="Calibri"/>
      <w:sz w:val="22"/>
      <w:szCs w:val="22"/>
    </w:rPr>
  </w:style>
  <w:style w:type="paragraph" w:styleId="ConsPlusNormal" w:customStyle="1">
    <w:name w:val="ConsPlusNormal"/>
    <w:qFormat/>
    <w:pPr>
      <w:widowControl w:val="off"/>
    </w:pPr>
    <w:rPr>
      <w:sz w:val="24"/>
      <w:szCs w:val="24"/>
    </w:rPr>
  </w:style>
  <w:style w:type="paragraph" w:styleId="ConsPlusNonformat" w:customStyle="1">
    <w:name w:val="ConsPlusNonformat"/>
    <w:pPr>
      <w:widowControl w:val="off"/>
    </w:pPr>
    <w:rPr>
      <w:rFonts w:ascii="Courier New" w:hAnsi="Courier New" w:cs="Courier New"/>
    </w:rPr>
  </w:style>
  <w:style w:type="paragraph" w:styleId="ConsPlusTitle" w:customStyle="1">
    <w:name w:val="ConsPlusTitle"/>
    <w:pPr>
      <w:widowControl w:val="off"/>
    </w:pPr>
    <w:rPr>
      <w:rFonts w:ascii="Arial" w:hAnsi="Arial" w:cs="Arial"/>
      <w:b/>
      <w:bCs/>
      <w:sz w:val="24"/>
      <w:szCs w:val="24"/>
    </w:rPr>
  </w:style>
  <w:style w:type="paragraph" w:styleId="ConsPlusCell" w:customStyle="1">
    <w:name w:val="ConsPlusCell"/>
    <w:pPr>
      <w:widowControl w:val="off"/>
    </w:pPr>
    <w:rPr>
      <w:rFonts w:ascii="Courier New" w:hAnsi="Courier New" w:cs="Courier New"/>
    </w:rPr>
  </w:style>
  <w:style w:type="paragraph" w:styleId="ConsPlusDocList" w:customStyle="1">
    <w:name w:val="ConsPlusDocList"/>
    <w:pPr>
      <w:widowControl w:val="off"/>
    </w:pPr>
    <w:rPr>
      <w:rFonts w:ascii="Tahoma" w:hAnsi="Tahoma" w:cs="Tahoma"/>
      <w:sz w:val="18"/>
      <w:szCs w:val="18"/>
    </w:rPr>
  </w:style>
  <w:style w:type="paragraph" w:styleId="ConsPlusTitlePage" w:customStyle="1">
    <w:name w:val="ConsPlusTitlePage"/>
    <w:pPr>
      <w:widowControl w:val="off"/>
    </w:pPr>
    <w:rPr>
      <w:rFonts w:ascii="Tahoma" w:hAnsi="Tahoma" w:cs="Tahoma"/>
      <w:sz w:val="24"/>
      <w:szCs w:val="24"/>
    </w:rPr>
  </w:style>
  <w:style w:type="paragraph" w:styleId="ConsPlusJurTerm" w:customStyle="1">
    <w:name w:val="ConsPlusJurTerm"/>
    <w:pPr>
      <w:widowControl w:val="off"/>
    </w:pPr>
    <w:rPr>
      <w:sz w:val="24"/>
      <w:szCs w:val="24"/>
    </w:rPr>
  </w:style>
  <w:style w:type="paragraph" w:styleId="ConsPlusTextList" w:customStyle="1">
    <w:name w:val="ConsPlusTextList"/>
    <w:pPr>
      <w:widowControl w:val="off"/>
    </w:pPr>
    <w:rPr>
      <w:sz w:val="24"/>
      <w:szCs w:val="24"/>
    </w:rPr>
  </w:style>
  <w:style w:type="paragraph" w:styleId="ConsPlusTextList1" w:customStyle="1">
    <w:name w:val="ConsPlusTextList1"/>
    <w:pPr>
      <w:widowControl w:val="off"/>
    </w:pPr>
    <w:rPr>
      <w:sz w:val="24"/>
      <w:szCs w:val="24"/>
    </w:rPr>
  </w:style>
  <w:style w:type="paragraph" w:styleId="aa">
    <w:name w:val="header"/>
    <w:basedOn w:val="a"/>
    <w:uiPriority w:val="99"/>
    <w:pPr>
      <w:tabs>
        <w:tab w:val="center" w:pos="4677"/>
        <w:tab w:val="right" w:pos="9355"/>
      </w:tabs>
    </w:pPr>
  </w:style>
  <w:style w:type="paragraph" w:styleId="ab">
    <w:name w:val="footer"/>
    <w:basedOn w:val="a"/>
    <w:uiPriority w:val="99"/>
    <w:pPr>
      <w:tabs>
        <w:tab w:val="center" w:pos="4677"/>
        <w:tab w:val="right" w:pos="9355"/>
      </w:tabs>
    </w:pPr>
  </w:style>
  <w:style w:type="paragraph" w:styleId="ac" w:customStyle="1">
    <w:name w:val="Содержимое таблицы"/>
    <w:basedOn w:val="a"/>
    <w:pPr>
      <w:suppressLineNumbers/>
    </w:pPr>
  </w:style>
  <w:style w:type="paragraph" w:styleId="ad" w:customStyle="1">
    <w:name w:val="Заголовок таблицы"/>
    <w:basedOn w:val="ac"/>
    <w:pPr>
      <w:jc w:val="center"/>
    </w:pPr>
    <w:rPr>
      <w:b/>
      <w:bCs/>
    </w:rPr>
  </w:style>
  <w:style w:type="character" w:styleId="10" w:customStyle="1">
    <w:name w:val="Заголовок 1 Знак"/>
    <w:basedOn w:val="a0"/>
    <w:link w:val="1"/>
    <w:rPr>
      <w:sz w:val="28"/>
    </w:rPr>
  </w:style>
  <w:style w:type="table" w:styleId="ae">
    <w:name w:val="Table Grid"/>
    <w:basedOn w:val="a1"/>
    <w:uiPriority w:val="59"/>
    <w:rPr>
      <w:rFonts w:asciiTheme="minorHAnsi" w:hAnsiTheme="minorHAnsi" w:eastAsiaTheme="minorHAnsi" w:cstheme="minorBidi"/>
      <w:sz w:val="22"/>
      <w:szCs w:val="22"/>
      <w:lang w:eastAsia="en-U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left w:w="108" w:type="dxa"/>
        <w:top w:w="0" w:type="dxa"/>
        <w:right w:w="108" w:type="dxa"/>
        <w:bottom w:w="0" w:type="dxa"/>
      </w:tblCellMar>
    </w:tblPr>
  </w:style>
  <w:style w:type="paragraph" w:styleId="af">
    <w:name w:val="Title"/>
    <w:basedOn w:val="a"/>
    <w:link w:val="af0"/>
    <w:qFormat/>
    <w:pPr>
      <w:spacing w:after="0" w:line="240" w:lineRule="auto"/>
      <w:jc w:val="center"/>
    </w:pPr>
    <w:rPr>
      <w:rFonts w:ascii="Times New Roman" w:hAnsi="Times New Roman" w:cs="Times New Roman" w:eastAsia="Arial Unicode MS"/>
      <w:spacing w:val="-20"/>
      <w:sz w:val="36"/>
      <w:szCs w:val="20"/>
      <w:lang w:eastAsia="en-US"/>
    </w:rPr>
  </w:style>
  <w:style w:type="character" w:styleId="af0" w:customStyle="1">
    <w:name w:val="Название Знак"/>
    <w:basedOn w:val="a0"/>
    <w:link w:val="af"/>
    <w:rPr>
      <w:rFonts w:eastAsia="Arial Unicode MS"/>
      <w:spacing w:val="-20"/>
      <w:sz w:val="36"/>
      <w:lang w:eastAsia="en-US"/>
    </w:rPr>
  </w:style>
  <w:style w:type="paragraph" w:styleId="af1">
    <w:name w:val="Balloon Text"/>
    <w:basedOn w:val="a"/>
    <w:link w:val="af2"/>
    <w:uiPriority w:val="99"/>
    <w:semiHidden/>
    <w:unhideWhenUsed/>
    <w:pPr>
      <w:spacing w:after="0" w:line="240" w:lineRule="auto"/>
    </w:pPr>
    <w:rPr>
      <w:rFonts w:ascii="Tahoma" w:hAnsi="Tahoma" w:cs="Tahoma"/>
      <w:sz w:val="16"/>
      <w:szCs w:val="16"/>
    </w:rPr>
  </w:style>
  <w:style w:type="character" w:styleId="af2" w:customStyle="1">
    <w:name w:val="Текст выноски Знак"/>
    <w:basedOn w:val="a0"/>
    <w:link w:val="af1"/>
    <w:uiPriority w:val="99"/>
    <w:semiHidden/>
    <w:rPr>
      <w:rFonts w:ascii="Tahoma" w:hAnsi="Tahoma" w:cs="Tahoma"/>
      <w:sz w:val="16"/>
      <w:szCs w:val="16"/>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customXml" Target="../customXml/item1.xml" /><Relationship Id="rId15" Type="http://schemas.openxmlformats.org/officeDocument/2006/relationships/hyperlink" Target="https://login.consultant.ru/link/?req=doc&amp;base=LAW&amp;n=389332&amp;date=27.07.2021&amp;dst=103281&amp;fld=134" TargetMode="External"/><Relationship Id="rId16" Type="http://schemas.openxmlformats.org/officeDocument/2006/relationships/hyperlink" Target="https://login.consultant.ru/link/?req=doc&amp;base=LAW&amp;n=389137&amp;date=27.07.2021&amp;dst=101187&amp;fld=134" TargetMode="External"/><Relationship Id="rId17" Type="http://schemas.openxmlformats.org/officeDocument/2006/relationships/hyperlink" Target="https://login.consultant.ru/link/?req=doc&amp;base=LAW&amp;n=358824&amp;date=27.07.2021" TargetMode="External"/><Relationship Id="rId18" Type="http://schemas.openxmlformats.org/officeDocument/2006/relationships/hyperlink" Target="https://login.consultant.ru/link/?req=doc&amp;base=RLAW077&amp;n=175377&amp;date=27.07.2021&amp;dst=100048&amp;fld=134" TargetMode="External"/><Relationship Id="rId19" Type="http://schemas.openxmlformats.org/officeDocument/2006/relationships/hyperlink" Target="https://login.consultant.ru/link/?req=doc&amp;base=LAW&amp;n=387003&amp;date=27.07.2021&amp;dst=100070&amp;fld=134" TargetMode="External"/><Relationship Id="rId20" Type="http://schemas.openxmlformats.org/officeDocument/2006/relationships/hyperlink" Target="https://login.consultant.ru/link/?req=doc&amp;base=LAW&amp;n=150017&amp;date=27.07.2021" TargetMode="External"/><Relationship Id="rId21" Type="http://schemas.openxmlformats.org/officeDocument/2006/relationships/hyperlink" Target="https://login.consultant.ru/link/?req=doc&amp;base=LAW&amp;n=97672&amp;date=27.07.2021" TargetMode="External"/><Relationship Id="rId22" Type="http://schemas.openxmlformats.org/officeDocument/2006/relationships/hyperlink" Target="file:///E:\_blank" TargetMode="External"/><Relationship Id="rId23" Type="http://schemas.openxmlformats.org/officeDocument/2006/relationships/hyperlink" Target="https://login.consultant.ru/link/?req=doc&amp;base=LAW&amp;n=387003&amp;date=27.07.2021" TargetMode="External"/><Relationship Id="rId24" Type="http://schemas.openxmlformats.org/officeDocument/2006/relationships/hyperlink" Target="file:///E:\_blank" TargetMode="External"/><Relationship Id="rId25" Type="http://schemas.openxmlformats.org/officeDocument/2006/relationships/hyperlink" Target="file:///E:\_blank" TargetMode="External"/><Relationship Id="rId26" Type="http://schemas.openxmlformats.org/officeDocument/2006/relationships/hyperlink" Target="https://login.consultant.ru/link/?req=doc&amp;base=LAW&amp;n=387003&amp;date=27.07.2021" TargetMode="External"/><Relationship Id="rId27" Type="http://schemas.openxmlformats.org/officeDocument/2006/relationships/hyperlink" Target="https://login.consultant.ru/link/?req=doc&amp;base=LAW&amp;n=387003&amp;date=27.07.2021" TargetMode="External"/><Relationship Id="rId28" Type="http://schemas.openxmlformats.org/officeDocument/2006/relationships/hyperlink" Target="https://login.consultant.ru/link/?req=doc&amp;base=LAW&amp;n=387003&amp;date=27.07.2021" TargetMode="External"/><Relationship Id="rId29" Type="http://schemas.openxmlformats.org/officeDocument/2006/relationships/hyperlink" Target="https://login.consultant.ru/link/?req=doc&amp;base=LAW&amp;n=387003&amp;date=27.07.2021"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53CAEB24-BC8B-482E-AABC-D575966D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Р7-Офис/7.1.1.35</Application>
  <Characters>31049</Characters>
  <CharactersWithSpaces>36424</CharactersWithSpaces>
  <Company>Администрация городв Ставрополя</Company>
  <DocSecurity>0</DocSecurity>
  <HyperlinksChanged>false</HyperlinksChanged>
  <Lines>258</Lines>
  <LinksUpToDate>false</LinksUpToDate>
  <Pages>21</Pages>
  <Paragraphs>72</Paragraphs>
  <ScaleCrop>false</ScaleCrop>
  <SharedDoc>false</SharedDoc>
  <Template>Normal</Template>
  <TotalTime>49</TotalTime>
  <Words>5447</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Ставрополя от 15.11.2019 N 3257(ред. от 08.07.2021)"Об утверждении муниципальной программы "Энергосбережение и повышение энергетической эффективности в городе Ставрополе"</dc:title>
  <dc:creator>OS.Gladkova</dc:creator>
  <cp:lastModifiedBy>gv.putilova</cp:lastModifiedBy>
  <cp:revision>7</cp:revision>
  <cp:lastPrinted>2022-11-10T10:12:00Z</cp:lastPrinted>
  <dcterms:created xsi:type="dcterms:W3CDTF">2022-11-14T11:29:00Z</dcterms:created>
  <dcterms:modified xsi:type="dcterms:W3CDTF">2022-11-15T11:03:00Z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4018.00.50</vt:lpwstr>
  </property>
  <property fmtid="{D5CDD505-2E9C-101B-9397-08002B2CF9AE}" pid="3" name="Operator">
    <vt:lpwstr>OS.Gladkova</vt:lpwstr>
  </property>
</Properties>
</file>